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autoSpaceDE/>
        <w:autoSpaceDN/>
        <w:bidi w:val="0"/>
        <w:adjustRightInd w:val="0"/>
        <w:snapToGrid w:val="0"/>
        <w:spacing w:line="578" w:lineRule="exact"/>
        <w:ind w:firstLine="0" w:firstLineChars="0"/>
        <w:jc w:val="left"/>
        <w:textAlignment w:val="auto"/>
        <w:rPr>
          <w:rFonts w:hint="eastAsia" w:eastAsia="方正黑体_GBK"/>
          <w:sz w:val="32"/>
          <w:szCs w:val="32"/>
          <w:lang w:val="en-US" w:eastAsia="zh-CN"/>
        </w:rPr>
      </w:pPr>
      <w:bookmarkStart w:id="1" w:name="_GoBack"/>
      <w:bookmarkEnd w:id="1"/>
      <w:r>
        <w:rPr>
          <w:rFonts w:eastAsia="方正黑体_GBK"/>
          <w:sz w:val="32"/>
          <w:szCs w:val="32"/>
        </w:rPr>
        <w:t>附件</w:t>
      </w:r>
      <w:r>
        <w:rPr>
          <w:rFonts w:hint="eastAsia" w:eastAsia="方正黑体_GBK"/>
          <w:sz w:val="32"/>
          <w:szCs w:val="32"/>
          <w:lang w:val="en-US" w:eastAsia="zh-CN"/>
        </w:rPr>
        <w:t>1</w:t>
      </w:r>
    </w:p>
    <w:p>
      <w:pPr>
        <w:pStyle w:val="2"/>
        <w:keepNext w:val="0"/>
        <w:keepLines w:val="0"/>
        <w:spacing w:before="0" w:after="0" w:line="578" w:lineRule="exact"/>
        <w:jc w:val="center"/>
        <w:rPr>
          <w:rFonts w:hint="default" w:ascii="Times New Roman" w:hAnsi="Times New Roman" w:eastAsia="方正小标宋简体" w:cs="Times New Roman"/>
          <w:b w:val="0"/>
          <w:bCs w:val="0"/>
          <w:lang w:eastAsia="zh-CN"/>
        </w:rPr>
      </w:pPr>
    </w:p>
    <w:p>
      <w:pPr>
        <w:pStyle w:val="2"/>
        <w:keepNext w:val="0"/>
        <w:keepLines w:val="0"/>
        <w:spacing w:before="0" w:after="0" w:line="578" w:lineRule="exact"/>
        <w:jc w:val="center"/>
        <w:rPr>
          <w:rFonts w:hint="default" w:ascii="Times New Roman" w:hAnsi="Times New Roman" w:eastAsia="方正小标宋简体" w:cs="Times New Roman"/>
          <w:b w:val="0"/>
          <w:bCs w:val="0"/>
          <w:lang w:eastAsia="zh-CN"/>
        </w:rPr>
      </w:pPr>
      <w:r>
        <w:rPr>
          <w:rFonts w:hint="default" w:ascii="Times New Roman" w:hAnsi="Times New Roman" w:eastAsia="方正小标宋简体" w:cs="Times New Roman"/>
          <w:b w:val="0"/>
          <w:bCs w:val="0"/>
          <w:lang w:eastAsia="zh-CN"/>
        </w:rPr>
        <w:t>成都市</w:t>
      </w:r>
      <w:r>
        <w:rPr>
          <w:rFonts w:hint="eastAsia" w:ascii="Times New Roman" w:hAnsi="Times New Roman" w:eastAsia="方正小标宋简体" w:cs="Times New Roman"/>
          <w:b w:val="0"/>
          <w:bCs w:val="0"/>
          <w:lang w:eastAsia="zh-CN"/>
        </w:rPr>
        <w:t>“</w:t>
      </w:r>
      <w:r>
        <w:rPr>
          <w:rFonts w:hint="default" w:ascii="Times New Roman" w:hAnsi="Times New Roman" w:eastAsia="方正小标宋简体" w:cs="Times New Roman"/>
          <w:b w:val="0"/>
          <w:bCs w:val="0"/>
          <w:lang w:eastAsia="zh-CN"/>
        </w:rPr>
        <w:t>揭榜挂帅</w:t>
      </w:r>
      <w:r>
        <w:rPr>
          <w:rFonts w:hint="eastAsia" w:ascii="Times New Roman" w:hAnsi="Times New Roman" w:eastAsia="方正小标宋简体" w:cs="Times New Roman"/>
          <w:b w:val="0"/>
          <w:bCs w:val="0"/>
          <w:lang w:eastAsia="zh-CN"/>
        </w:rPr>
        <w:t>”</w:t>
      </w:r>
      <w:r>
        <w:rPr>
          <w:rFonts w:hint="default" w:ascii="Times New Roman" w:hAnsi="Times New Roman" w:eastAsia="方正小标宋简体" w:cs="Times New Roman"/>
          <w:b w:val="0"/>
          <w:bCs w:val="0"/>
          <w:lang w:eastAsia="zh-CN"/>
        </w:rPr>
        <w:t>科技项目实施和管理</w:t>
      </w:r>
      <w:r>
        <w:rPr>
          <w:rFonts w:hint="eastAsia" w:ascii="Times New Roman" w:hAnsi="Times New Roman" w:eastAsia="方正小标宋简体" w:cs="Times New Roman"/>
          <w:b w:val="0"/>
          <w:bCs w:val="0"/>
          <w:lang w:eastAsia="zh-CN"/>
        </w:rPr>
        <w:t>办</w:t>
      </w:r>
      <w:r>
        <w:rPr>
          <w:rFonts w:hint="default" w:ascii="Times New Roman" w:hAnsi="Times New Roman" w:eastAsia="方正小标宋简体" w:cs="Times New Roman"/>
          <w:b w:val="0"/>
          <w:bCs w:val="0"/>
          <w:lang w:eastAsia="zh-CN"/>
        </w:rPr>
        <w:t>法</w:t>
      </w:r>
    </w:p>
    <w:p>
      <w:pPr>
        <w:pStyle w:val="2"/>
        <w:keepNext w:val="0"/>
        <w:keepLines w:val="0"/>
        <w:spacing w:before="0" w:after="0" w:line="578" w:lineRule="exact"/>
        <w:jc w:val="center"/>
        <w:rPr>
          <w:rFonts w:hint="default" w:ascii="Times New Roman" w:hAnsi="Times New Roman" w:eastAsia="方正小标宋简体" w:cs="Times New Roman"/>
          <w:b w:val="0"/>
          <w:bCs w:val="0"/>
          <w:lang w:eastAsia="zh-CN"/>
        </w:rPr>
      </w:pPr>
      <w:r>
        <w:rPr>
          <w:rFonts w:hint="default" w:ascii="Times New Roman" w:hAnsi="Times New Roman" w:eastAsia="方正小标宋简体" w:cs="Times New Roman"/>
          <w:b w:val="0"/>
          <w:bCs w:val="0"/>
          <w:lang w:eastAsia="zh-CN"/>
        </w:rPr>
        <w:t>（试行）</w:t>
      </w:r>
    </w:p>
    <w:p>
      <w:pPr>
        <w:jc w:val="center"/>
        <w:rPr>
          <w:rFonts w:hint="eastAsia" w:ascii="Times New Roman" w:hAnsi="Times New Roman" w:eastAsia="方正楷体_GBK" w:cs="Times New Roman"/>
          <w:sz w:val="28"/>
          <w:szCs w:val="28"/>
          <w:lang w:eastAsia="zh-CN"/>
        </w:rPr>
      </w:pPr>
      <w:r>
        <w:rPr>
          <w:rFonts w:hint="eastAsia" w:ascii="Times New Roman" w:hAnsi="Times New Roman" w:eastAsia="方正楷体_GBK" w:cs="Times New Roman"/>
          <w:sz w:val="28"/>
          <w:szCs w:val="28"/>
          <w:lang w:eastAsia="zh-CN"/>
        </w:rPr>
        <w:t>（成科字〔2022〕44号）</w:t>
      </w:r>
    </w:p>
    <w:p>
      <w:pPr>
        <w:adjustRightInd w:val="0"/>
        <w:snapToGrid w:val="0"/>
        <w:spacing w:line="578" w:lineRule="exact"/>
        <w:jc w:val="center"/>
        <w:rPr>
          <w:rFonts w:eastAsia="方正黑体_GBK"/>
          <w:color w:val="000000"/>
          <w:sz w:val="32"/>
          <w:szCs w:val="32"/>
        </w:rPr>
      </w:pPr>
      <w:r>
        <w:rPr>
          <w:rFonts w:eastAsia="方正黑体_GBK"/>
          <w:color w:val="000000"/>
          <w:sz w:val="32"/>
          <w:szCs w:val="32"/>
        </w:rPr>
        <w:t>第一章  总  则</w:t>
      </w:r>
    </w:p>
    <w:p>
      <w:pPr>
        <w:adjustRightInd w:val="0"/>
        <w:snapToGrid w:val="0"/>
        <w:spacing w:line="578" w:lineRule="exact"/>
        <w:ind w:firstLine="640" w:firstLineChars="200"/>
        <w:rPr>
          <w:rFonts w:eastAsia="方正黑体_GBK"/>
          <w:color w:val="000000"/>
          <w:sz w:val="32"/>
          <w:szCs w:val="32"/>
        </w:rPr>
      </w:pPr>
      <w:r>
        <w:rPr>
          <w:rFonts w:eastAsia="方正黑体_GBK"/>
          <w:color w:val="000000"/>
          <w:sz w:val="32"/>
          <w:szCs w:val="32"/>
        </w:rPr>
        <w:t>第一条  制定依据</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为贯彻落实市第十四次党代会精神，</w:t>
      </w:r>
      <w:r>
        <w:rPr>
          <w:rFonts w:eastAsia="方正仿宋_GBK"/>
          <w:sz w:val="32"/>
          <w:szCs w:val="32"/>
        </w:rPr>
        <w:t>探索关键核心技术攻关项目组织新模式与财政科技投入新机制</w:t>
      </w:r>
      <w:r>
        <w:rPr>
          <w:rFonts w:eastAsia="方正仿宋_GBK"/>
          <w:color w:val="000000"/>
          <w:sz w:val="32"/>
          <w:szCs w:val="32"/>
        </w:rPr>
        <w:t>，根据《成都市科技计划项目管理办法》（成科字〔2021〕6号）有关规定，制定本办法。</w:t>
      </w:r>
    </w:p>
    <w:p>
      <w:pPr>
        <w:adjustRightInd w:val="0"/>
        <w:snapToGrid w:val="0"/>
        <w:spacing w:line="578" w:lineRule="exact"/>
        <w:ind w:firstLine="640" w:firstLineChars="200"/>
        <w:rPr>
          <w:rFonts w:eastAsia="方正黑体_GBK"/>
          <w:color w:val="000000"/>
          <w:sz w:val="32"/>
          <w:szCs w:val="32"/>
        </w:rPr>
      </w:pPr>
      <w:r>
        <w:rPr>
          <w:rFonts w:eastAsia="方正黑体_GBK"/>
          <w:color w:val="000000"/>
          <w:sz w:val="32"/>
          <w:szCs w:val="32"/>
        </w:rPr>
        <w:t>第二条  项目定义</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成都市</w:t>
      </w: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科技项目（以下简称</w:t>
      </w: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是指聚焦落实国家和省、市重大科技战略任务，以及解决成都市重点产业建圈强链和城市治理能力提升所面临的关键核心技术问题，以任务实施成效为衡量标准，以成果落地应用为牵引，由创新主体或创新联合体揭榜实施的，需求目标清晰、应用导向鲜明、最终用户明确的重大科技项目。</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根据任务来源，</w:t>
      </w: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项目分为政府出题类和企业出题类。</w:t>
      </w:r>
    </w:p>
    <w:p>
      <w:pPr>
        <w:adjustRightInd w:val="0"/>
        <w:snapToGrid w:val="0"/>
        <w:spacing w:line="578" w:lineRule="exact"/>
        <w:ind w:firstLine="640" w:firstLineChars="200"/>
        <w:rPr>
          <w:rFonts w:eastAsia="方正黑体_GBK"/>
          <w:color w:val="000000"/>
          <w:sz w:val="32"/>
          <w:szCs w:val="32"/>
        </w:rPr>
      </w:pPr>
      <w:r>
        <w:rPr>
          <w:rFonts w:eastAsia="方正黑体_GBK"/>
          <w:color w:val="000000"/>
          <w:sz w:val="32"/>
          <w:szCs w:val="32"/>
        </w:rPr>
        <w:t>第三条  实施流程</w:t>
      </w:r>
    </w:p>
    <w:p>
      <w:pPr>
        <w:adjustRightInd w:val="0"/>
        <w:snapToGrid w:val="0"/>
        <w:spacing w:line="578" w:lineRule="exact"/>
        <w:ind w:firstLine="640" w:firstLineChars="200"/>
        <w:rPr>
          <w:rFonts w:eastAsia="方正仿宋_GBK"/>
          <w:color w:val="000000"/>
          <w:sz w:val="32"/>
          <w:szCs w:val="32"/>
        </w:rPr>
      </w:pP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项目的组织实施包括需求征集、榜单编制、榜单发布、公开揭榜、揭榜公示、签署</w:t>
      </w:r>
      <w:r>
        <w:rPr>
          <w:rFonts w:hint="eastAsia" w:ascii="方正仿宋_GBK" w:eastAsia="方正仿宋_GBK"/>
          <w:color w:val="000000"/>
          <w:sz w:val="32"/>
          <w:szCs w:val="32"/>
        </w:rPr>
        <w:t>“</w:t>
      </w:r>
      <w:r>
        <w:rPr>
          <w:rFonts w:eastAsia="方正仿宋_GBK"/>
          <w:color w:val="000000"/>
          <w:sz w:val="32"/>
          <w:szCs w:val="32"/>
        </w:rPr>
        <w:t>军令状</w:t>
      </w:r>
      <w:r>
        <w:rPr>
          <w:rFonts w:hint="eastAsia" w:ascii="方正仿宋_GBK" w:eastAsia="方正仿宋_GBK"/>
          <w:color w:val="000000"/>
          <w:sz w:val="32"/>
          <w:szCs w:val="32"/>
        </w:rPr>
        <w:t>”</w:t>
      </w:r>
      <w:r>
        <w:rPr>
          <w:rFonts w:eastAsia="方正仿宋_GBK"/>
          <w:color w:val="000000"/>
          <w:sz w:val="32"/>
          <w:szCs w:val="32"/>
        </w:rPr>
        <w:t>、实施管理和考核验收等流程。</w:t>
      </w:r>
    </w:p>
    <w:p>
      <w:pPr>
        <w:adjustRightInd w:val="0"/>
        <w:snapToGrid w:val="0"/>
        <w:spacing w:line="578" w:lineRule="exact"/>
        <w:ind w:firstLine="640"/>
        <w:rPr>
          <w:rFonts w:eastAsia="方正黑体_GBK"/>
          <w:color w:val="000000"/>
          <w:sz w:val="32"/>
          <w:szCs w:val="32"/>
        </w:rPr>
      </w:pPr>
      <w:r>
        <w:rPr>
          <w:rFonts w:eastAsia="方正黑体_GBK"/>
          <w:color w:val="000000"/>
          <w:sz w:val="32"/>
          <w:szCs w:val="32"/>
        </w:rPr>
        <w:t>第四条  榜单规范</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榜单应包括项目名称、需求目标、考核指标、实施期限、榜单金额。</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需求目标应聚焦出题任务方向、提出具体任务要求，考核指标应量化、成果化且能全面支撑需求目标的实现，实施期限应不超过2年，榜单金额为成功揭榜并通过考核验收后拨（支）付给揭榜方的资金额度。</w:t>
      </w:r>
    </w:p>
    <w:p>
      <w:pPr>
        <w:adjustRightInd w:val="0"/>
        <w:snapToGrid w:val="0"/>
        <w:spacing w:line="578" w:lineRule="exact"/>
        <w:rPr>
          <w:rFonts w:eastAsia="方正仿宋_GBK"/>
          <w:color w:val="000000"/>
          <w:sz w:val="32"/>
          <w:szCs w:val="32"/>
        </w:rPr>
      </w:pPr>
      <w:r>
        <w:rPr>
          <w:rFonts w:eastAsia="方正黑体_GBK"/>
          <w:color w:val="000000"/>
          <w:sz w:val="32"/>
          <w:szCs w:val="32"/>
        </w:rPr>
        <w:t xml:space="preserve">    第五条  管理职责</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市科技局负责组织开展</w:t>
      </w: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项目的需求征集、遴选发榜、立项实施和绩效管理等工作，提出预算安排建议方案。</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市财政局负责</w:t>
      </w: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项目财政资金保障、绩效监督等工作。</w:t>
      </w:r>
    </w:p>
    <w:p>
      <w:pPr>
        <w:adjustRightInd w:val="0"/>
        <w:snapToGrid w:val="0"/>
        <w:spacing w:line="578" w:lineRule="exact"/>
        <w:ind w:firstLine="640" w:firstLineChars="200"/>
        <w:rPr>
          <w:rFonts w:eastAsia="方正仿宋_GBK"/>
          <w:szCs w:val="20"/>
        </w:rPr>
      </w:pP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项目相关管理工作可依照规定选择第三方机构实施或参与实施。</w:t>
      </w:r>
    </w:p>
    <w:p>
      <w:pPr>
        <w:adjustRightInd w:val="0"/>
        <w:snapToGrid w:val="0"/>
        <w:spacing w:line="578" w:lineRule="exact"/>
        <w:rPr>
          <w:szCs w:val="20"/>
        </w:rPr>
      </w:pPr>
    </w:p>
    <w:p>
      <w:pPr>
        <w:adjustRightInd w:val="0"/>
        <w:snapToGrid w:val="0"/>
        <w:spacing w:line="578" w:lineRule="exact"/>
        <w:jc w:val="center"/>
        <w:rPr>
          <w:rFonts w:eastAsia="方正黑体_GBK"/>
          <w:color w:val="000000"/>
          <w:sz w:val="32"/>
          <w:szCs w:val="32"/>
        </w:rPr>
      </w:pPr>
      <w:r>
        <w:rPr>
          <w:rFonts w:eastAsia="方正黑体_GBK"/>
          <w:color w:val="000000"/>
          <w:sz w:val="32"/>
          <w:szCs w:val="32"/>
        </w:rPr>
        <w:t>第二章  项目分类</w:t>
      </w:r>
    </w:p>
    <w:p>
      <w:pPr>
        <w:adjustRightInd w:val="0"/>
        <w:snapToGrid w:val="0"/>
        <w:spacing w:line="578" w:lineRule="exact"/>
        <w:ind w:firstLine="640"/>
        <w:rPr>
          <w:rFonts w:eastAsia="方正黑体_GBK"/>
          <w:color w:val="000000"/>
          <w:sz w:val="32"/>
          <w:szCs w:val="32"/>
        </w:rPr>
      </w:pPr>
      <w:r>
        <w:rPr>
          <w:rFonts w:eastAsia="方正黑体_GBK"/>
          <w:color w:val="000000"/>
          <w:sz w:val="32"/>
          <w:szCs w:val="32"/>
        </w:rPr>
        <w:t>第六条  政府出题类项目</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（一）任务要求。应聚焦国家和省、市重大科技战略任务确定的重大技术需求，突出攻关技术成果对产业建圈强链或城市治理的重大科技支撑。</w:t>
      </w:r>
    </w:p>
    <w:p>
      <w:pPr>
        <w:adjustRightInd w:val="0"/>
        <w:snapToGrid w:val="0"/>
        <w:spacing w:line="578" w:lineRule="exact"/>
        <w:ind w:firstLine="640" w:firstLineChars="200"/>
        <w:rPr>
          <w:rFonts w:eastAsia="方正仿宋_GBK"/>
          <w:szCs w:val="20"/>
        </w:rPr>
      </w:pPr>
      <w:r>
        <w:rPr>
          <w:rFonts w:eastAsia="方正仿宋_GBK"/>
          <w:color w:val="000000"/>
          <w:sz w:val="32"/>
          <w:szCs w:val="32"/>
        </w:rPr>
        <w:t>根据技术成果主要应用服务的产业（行业）或率先落地推广的地域，由市科技局会同有关产业（行业）主管部门、区（市）县等需求单位凝练技术需求，明确完成任务的衡量标准、预期成果最终用户</w:t>
      </w:r>
      <w:r>
        <w:rPr>
          <w:rFonts w:eastAsia="方正仿宋_GBK"/>
          <w:color w:val="000000"/>
          <w:sz w:val="32"/>
          <w:szCs w:val="32"/>
          <w:vertAlign w:val="superscript"/>
        </w:rPr>
        <w:footnoteReference w:id="0"/>
      </w:r>
      <w:r>
        <w:rPr>
          <w:rFonts w:eastAsia="方正仿宋_GBK"/>
          <w:color w:val="000000"/>
          <w:sz w:val="32"/>
          <w:szCs w:val="32"/>
        </w:rPr>
        <w:t>以及具体应用场景。</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（二）揭榜方要求。</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1. 应为登记注册在成都市行政区域内且具有法人资格的高校、科研院所、企业、新型研发机构等，或由其牵头组建的创新联合体。</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2. 预期成果最终用户不能作为牵头揭榜方或参与揭榜方。</w:t>
      </w:r>
    </w:p>
    <w:p>
      <w:pPr>
        <w:spacing w:line="578" w:lineRule="exact"/>
        <w:rPr>
          <w:rFonts w:eastAsia="方正仿宋_GBK"/>
          <w:szCs w:val="20"/>
        </w:rPr>
      </w:pPr>
      <w:r>
        <w:rPr>
          <w:rFonts w:eastAsia="方正仿宋_GBK"/>
          <w:color w:val="000000"/>
          <w:sz w:val="32"/>
          <w:szCs w:val="32"/>
        </w:rPr>
        <w:t xml:space="preserve">    3. 科研诚信记录良好，未被列入联合惩戒名单或</w:t>
      </w:r>
      <w:r>
        <w:rPr>
          <w:rFonts w:hint="eastAsia" w:ascii="方正仿宋_GBK" w:eastAsia="方正仿宋_GBK"/>
          <w:color w:val="000000"/>
          <w:sz w:val="32"/>
          <w:szCs w:val="32"/>
        </w:rPr>
        <w:t>“</w:t>
      </w:r>
      <w:r>
        <w:rPr>
          <w:rFonts w:eastAsia="方正仿宋_GBK"/>
          <w:color w:val="000000"/>
          <w:sz w:val="32"/>
          <w:szCs w:val="32"/>
        </w:rPr>
        <w:t>黑名单</w:t>
      </w:r>
      <w:r>
        <w:rPr>
          <w:rFonts w:hint="eastAsia" w:ascii="方正仿宋_GBK" w:eastAsia="方正仿宋_GBK"/>
          <w:color w:val="000000"/>
          <w:sz w:val="32"/>
          <w:szCs w:val="32"/>
        </w:rPr>
        <w:t>”</w:t>
      </w:r>
      <w:r>
        <w:rPr>
          <w:rFonts w:eastAsia="方正仿宋_GBK"/>
          <w:color w:val="000000"/>
          <w:sz w:val="32"/>
          <w:szCs w:val="32"/>
        </w:rPr>
        <w:t>，近三年内无不良信用记录或重大违法行为。</w:t>
      </w:r>
    </w:p>
    <w:p>
      <w:pPr>
        <w:adjustRightInd w:val="0"/>
        <w:snapToGrid w:val="0"/>
        <w:spacing w:line="578" w:lineRule="exact"/>
        <w:ind w:firstLine="640"/>
        <w:rPr>
          <w:szCs w:val="20"/>
        </w:rPr>
      </w:pPr>
      <w:r>
        <w:rPr>
          <w:rFonts w:eastAsia="方正仿宋_GBK"/>
          <w:color w:val="000000"/>
          <w:sz w:val="32"/>
          <w:szCs w:val="32"/>
        </w:rPr>
        <w:t>（三）支持方式。由市级财政科技专项资金给予成功揭榜方项目资金支持，单个项目支持额度不超过1000万元（含）。</w:t>
      </w:r>
    </w:p>
    <w:p>
      <w:pPr>
        <w:adjustRightInd w:val="0"/>
        <w:snapToGrid w:val="0"/>
        <w:spacing w:line="578" w:lineRule="exact"/>
        <w:ind w:firstLine="640"/>
        <w:rPr>
          <w:rFonts w:eastAsia="方正黑体_GBK"/>
          <w:color w:val="000000"/>
          <w:sz w:val="32"/>
          <w:szCs w:val="32"/>
        </w:rPr>
      </w:pPr>
      <w:r>
        <w:rPr>
          <w:rFonts w:eastAsia="方正黑体_GBK"/>
          <w:color w:val="000000"/>
          <w:sz w:val="32"/>
          <w:szCs w:val="32"/>
        </w:rPr>
        <w:t>第七条  企业出题类项目</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一）任务要求。应聚焦成都市重点产业链主企业或行业龙头企业突破基础软硬件、关键零部件和装备、关键基础材料、关键仪器设备等方向关键核心技术攻关需求，突出攻关技术成果对提升企业核心竞争力的支撑。</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任务应由登记注册在成都市行政区域内具有法人资格的企业提出，且企业应具备以下条件：</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1. 对关键核心技术、关键零部件、关键材料及工艺等有内在迫切需求，技术攻关成功后率先在本企业推广应用，能够显著提升企业核心竞争力，带动相关产业链企业创新发展。</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2. 具有保障项目实施的资金投入，申报年度的上年度研发投入不低于1000万元（含）</w:t>
      </w:r>
      <w:r>
        <w:rPr>
          <w:rFonts w:eastAsia="仿宋_GB2312"/>
          <w:color w:val="000000"/>
          <w:sz w:val="32"/>
          <w:szCs w:val="32"/>
        </w:rPr>
        <w:t>，</w:t>
      </w:r>
      <w:r>
        <w:rPr>
          <w:rFonts w:eastAsia="方正仿宋_GBK"/>
          <w:color w:val="000000"/>
          <w:sz w:val="32"/>
          <w:szCs w:val="32"/>
        </w:rPr>
        <w:t>能够提供项目实施的配套条件。</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3. 具备良好的科研道德和社会诚信，近三年内无严重失信记录或重大违法行为。</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（二）揭榜方要求。</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1. 应为市内外具有法人资格的高校、科研院所、企业、新型研发机构等，或由其牵头组建的创新联合体。</w:t>
      </w:r>
    </w:p>
    <w:p>
      <w:pPr>
        <w:adjustRightInd w:val="0"/>
        <w:snapToGrid w:val="0"/>
        <w:spacing w:line="578" w:lineRule="exact"/>
        <w:ind w:firstLine="640"/>
        <w:rPr>
          <w:rFonts w:eastAsia="方正仿宋_GBK"/>
          <w:color w:val="000000"/>
          <w:spacing w:val="-6"/>
          <w:sz w:val="32"/>
          <w:szCs w:val="32"/>
        </w:rPr>
      </w:pPr>
      <w:r>
        <w:rPr>
          <w:rFonts w:eastAsia="方正仿宋_GBK"/>
          <w:color w:val="000000"/>
          <w:sz w:val="32"/>
          <w:szCs w:val="32"/>
        </w:rPr>
        <w:t xml:space="preserve">2. </w:t>
      </w:r>
      <w:r>
        <w:rPr>
          <w:rFonts w:eastAsia="方正仿宋_GBK"/>
          <w:color w:val="000000"/>
          <w:spacing w:val="-6"/>
          <w:sz w:val="32"/>
          <w:szCs w:val="32"/>
        </w:rPr>
        <w:t>需求企业或其股权关联方不能作为揭榜方或参与揭榜方。</w:t>
      </w:r>
    </w:p>
    <w:p>
      <w:pPr>
        <w:spacing w:line="578" w:lineRule="exact"/>
        <w:rPr>
          <w:rFonts w:eastAsia="方正仿宋_GBK"/>
          <w:szCs w:val="20"/>
        </w:rPr>
      </w:pPr>
      <w:r>
        <w:rPr>
          <w:rFonts w:eastAsia="方正仿宋_GBK"/>
          <w:color w:val="000000"/>
          <w:sz w:val="32"/>
          <w:szCs w:val="32"/>
        </w:rPr>
        <w:t xml:space="preserve">    3. 科研诚信记录良好，未被列入联合惩戒名单或</w:t>
      </w:r>
      <w:r>
        <w:rPr>
          <w:rFonts w:hint="eastAsia" w:ascii="方正仿宋_GBK" w:eastAsia="方正仿宋_GBK"/>
          <w:color w:val="000000"/>
          <w:sz w:val="32"/>
          <w:szCs w:val="32"/>
        </w:rPr>
        <w:t>“</w:t>
      </w:r>
      <w:r>
        <w:rPr>
          <w:rFonts w:eastAsia="方正仿宋_GBK"/>
          <w:color w:val="000000"/>
          <w:sz w:val="32"/>
          <w:szCs w:val="32"/>
        </w:rPr>
        <w:t>黑名单</w:t>
      </w:r>
      <w:r>
        <w:rPr>
          <w:rFonts w:hint="eastAsia" w:ascii="方正仿宋_GBK" w:eastAsia="方正仿宋_GBK"/>
          <w:color w:val="000000"/>
          <w:sz w:val="32"/>
          <w:szCs w:val="32"/>
        </w:rPr>
        <w:t>”</w:t>
      </w:r>
      <w:r>
        <w:rPr>
          <w:rFonts w:eastAsia="方正仿宋_GBK"/>
          <w:color w:val="000000"/>
          <w:sz w:val="32"/>
          <w:szCs w:val="32"/>
        </w:rPr>
        <w:t>，近三年内无不良信用记录或重大违法行为。</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（三）支持方式。以需求企业投入为主，单个项目资金总额不得低于1000万元（含），市级财政科技专项资金按不超过项目资金总额的20%给予需求企业后补助，单个项目补助资金最高不超过1000万元（含）。</w:t>
      </w:r>
    </w:p>
    <w:p>
      <w:pPr>
        <w:spacing w:line="578" w:lineRule="exact"/>
        <w:rPr>
          <w:szCs w:val="20"/>
        </w:rPr>
      </w:pPr>
    </w:p>
    <w:p>
      <w:pPr>
        <w:adjustRightInd w:val="0"/>
        <w:snapToGrid w:val="0"/>
        <w:spacing w:line="578" w:lineRule="exact"/>
        <w:jc w:val="center"/>
        <w:rPr>
          <w:rFonts w:eastAsia="方正黑体_GBK"/>
          <w:color w:val="000000"/>
          <w:sz w:val="32"/>
          <w:szCs w:val="32"/>
        </w:rPr>
      </w:pPr>
      <w:r>
        <w:rPr>
          <w:rFonts w:eastAsia="方正黑体_GBK"/>
          <w:color w:val="000000"/>
          <w:sz w:val="32"/>
          <w:szCs w:val="32"/>
        </w:rPr>
        <w:t>第三章  揭榜与立项</w:t>
      </w:r>
    </w:p>
    <w:p>
      <w:pPr>
        <w:adjustRightInd w:val="0"/>
        <w:snapToGrid w:val="0"/>
        <w:spacing w:line="578" w:lineRule="exact"/>
        <w:rPr>
          <w:rFonts w:eastAsia="方正仿宋_GBK"/>
          <w:color w:val="000000"/>
          <w:sz w:val="32"/>
          <w:szCs w:val="32"/>
        </w:rPr>
      </w:pPr>
      <w:r>
        <w:rPr>
          <w:rFonts w:eastAsia="方正黑体_GBK"/>
          <w:color w:val="000000"/>
          <w:sz w:val="32"/>
          <w:szCs w:val="32"/>
        </w:rPr>
        <w:t xml:space="preserve">    第八条  政府出题类项目</w:t>
      </w:r>
    </w:p>
    <w:p>
      <w:pPr>
        <w:adjustRightInd w:val="0"/>
        <w:snapToGrid w:val="0"/>
        <w:spacing w:line="578" w:lineRule="exact"/>
        <w:ind w:firstLine="645"/>
        <w:rPr>
          <w:rFonts w:eastAsia="方正仿宋_GBK"/>
          <w:color w:val="000000"/>
          <w:sz w:val="32"/>
          <w:szCs w:val="32"/>
        </w:rPr>
      </w:pPr>
      <w:r>
        <w:rPr>
          <w:rFonts w:eastAsia="方正仿宋_GBK"/>
          <w:color w:val="000000"/>
          <w:sz w:val="32"/>
          <w:szCs w:val="32"/>
        </w:rPr>
        <w:t>（一）需求征集。市科技局面向有关单位征集技术需求，由有关产业（行业）主管部门或区（市）县提出需求建议。</w:t>
      </w:r>
      <w:r>
        <w:rPr>
          <w:rFonts w:eastAsia="方正仿宋_GBK"/>
          <w:sz w:val="32"/>
          <w:szCs w:val="32"/>
        </w:rPr>
        <w:t>需求建议应包括</w:t>
      </w:r>
      <w:r>
        <w:rPr>
          <w:rFonts w:eastAsia="方正仿宋_GBK"/>
          <w:color w:val="000000"/>
          <w:sz w:val="32"/>
          <w:szCs w:val="32"/>
        </w:rPr>
        <w:t>拟解决的主要技术问题、预期成果最终用户、具体应用场景、主要考核指标、时限要求。</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二）榜单编制。市科技局组织行业管理专家、技术专家、需求单位、最终用户对征集到的技术需求进行充分论证，择优遴选出应用面广、指标明确、影响力大、带动性强的关键核心技术需求，并进一步凝练明确需求目标和应用场景，细化关键核心指标（技术参数），严格时限要求，准确测算所需资金，编制形成建议榜单。</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对国家、省重大科技战略任务或市委市政府重大工作部署确定的重大技术需求，且需求目标、关键核心指标（技术参数）、最终用户、具体应用场景等已明确的，可不经需求征集，由市科技局组织需求单位、行业专家、技术专家和最终用户等直接论证凝练形成建议榜单。</w:t>
      </w:r>
    </w:p>
    <w:p>
      <w:pPr>
        <w:adjustRightInd w:val="0"/>
        <w:snapToGrid w:val="0"/>
        <w:spacing w:line="578" w:lineRule="exact"/>
        <w:ind w:firstLine="640"/>
        <w:rPr>
          <w:rFonts w:eastAsia="方正仿宋_GBK"/>
          <w:color w:val="000000"/>
          <w:spacing w:val="-6"/>
          <w:sz w:val="32"/>
          <w:szCs w:val="32"/>
        </w:rPr>
      </w:pPr>
      <w:r>
        <w:rPr>
          <w:rFonts w:eastAsia="方正仿宋_GBK"/>
          <w:color w:val="000000"/>
          <w:sz w:val="32"/>
          <w:szCs w:val="32"/>
        </w:rPr>
        <w:t>（三）榜单发布。</w:t>
      </w:r>
      <w:r>
        <w:rPr>
          <w:rFonts w:eastAsia="方正仿宋_GBK"/>
          <w:color w:val="000000"/>
          <w:spacing w:val="-6"/>
          <w:sz w:val="32"/>
          <w:szCs w:val="32"/>
        </w:rPr>
        <w:t>市科技局根据专家遴选意见及建议榜单编制情况，按程序审定后，形成正式榜单向社会公开发布，招贤揭榜。</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（四）申报揭榜。依托</w:t>
      </w:r>
      <w:r>
        <w:rPr>
          <w:rFonts w:hint="eastAsia" w:ascii="方正仿宋_GBK" w:eastAsia="方正仿宋_GBK"/>
          <w:color w:val="000000"/>
          <w:sz w:val="32"/>
          <w:szCs w:val="32"/>
        </w:rPr>
        <w:t>“</w:t>
      </w:r>
      <w:r>
        <w:rPr>
          <w:rFonts w:eastAsia="方正仿宋_GBK"/>
          <w:color w:val="000000"/>
          <w:sz w:val="32"/>
          <w:szCs w:val="32"/>
        </w:rPr>
        <w:t>成都市科技项目申报系统</w:t>
      </w:r>
      <w:r>
        <w:rPr>
          <w:rFonts w:hint="eastAsia" w:ascii="方正仿宋_GBK" w:eastAsia="方正仿宋_GBK"/>
          <w:color w:val="000000"/>
          <w:sz w:val="32"/>
          <w:szCs w:val="32"/>
        </w:rPr>
        <w:t>”</w:t>
      </w:r>
      <w:r>
        <w:rPr>
          <w:rFonts w:eastAsia="方正仿宋_GBK"/>
          <w:color w:val="000000"/>
          <w:sz w:val="32"/>
          <w:szCs w:val="32"/>
        </w:rPr>
        <w:t>全程网上实施，有意向的申报揭榜单位按照榜单要求、结合自身情况，采取单独或联合其他单位组成创新联合体的方式，经推荐单位</w:t>
      </w:r>
      <w:r>
        <w:rPr>
          <w:rFonts w:eastAsia="方正仿宋_GBK"/>
          <w:color w:val="000000"/>
          <w:sz w:val="32"/>
          <w:szCs w:val="32"/>
          <w:vertAlign w:val="superscript"/>
        </w:rPr>
        <w:footnoteReference w:id="1"/>
      </w:r>
      <w:r>
        <w:rPr>
          <w:rFonts w:eastAsia="方正仿宋_GBK"/>
          <w:color w:val="000000"/>
          <w:sz w:val="32"/>
          <w:szCs w:val="32"/>
        </w:rPr>
        <w:t>推荐后申报揭榜。</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（五）评审遴选。根据申报揭榜情况，市科技局牵头组织需求单位、行业专家、最终用户等，采取论证答辩、现场评估等方式，共同对揭榜方案可行性等开展充分论证评审，遴选出成功揭榜方建议名单。</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（六）揭榜公示。市科技局根据评审遴选结果，经审议通过后，形成</w:t>
      </w: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项目名单及资金安排方案，对外公示5个工作日。</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（七）签署</w:t>
      </w:r>
      <w:r>
        <w:rPr>
          <w:rFonts w:hint="eastAsia" w:ascii="方正仿宋_GBK" w:eastAsia="方正仿宋_GBK"/>
          <w:color w:val="000000"/>
          <w:sz w:val="32"/>
          <w:szCs w:val="32"/>
        </w:rPr>
        <w:t>“</w:t>
      </w:r>
      <w:r>
        <w:rPr>
          <w:rFonts w:eastAsia="方正仿宋_GBK"/>
          <w:color w:val="000000"/>
          <w:sz w:val="32"/>
          <w:szCs w:val="32"/>
        </w:rPr>
        <w:t>军令状</w:t>
      </w:r>
      <w:r>
        <w:rPr>
          <w:rFonts w:hint="eastAsia" w:ascii="方正仿宋_GBK" w:eastAsia="方正仿宋_GBK"/>
          <w:color w:val="000000"/>
          <w:sz w:val="32"/>
          <w:szCs w:val="32"/>
        </w:rPr>
        <w:t>”</w:t>
      </w:r>
      <w:r>
        <w:rPr>
          <w:rFonts w:eastAsia="方正仿宋_GBK"/>
          <w:color w:val="000000"/>
          <w:sz w:val="32"/>
          <w:szCs w:val="32"/>
        </w:rPr>
        <w:t>。</w:t>
      </w: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项目名单及资金安排方案公示无异议后，由市科技局履行相关程序后，下达立项文件，并与揭榜方、揭榜方推荐单位签订任务书。</w:t>
      </w:r>
    </w:p>
    <w:p>
      <w:pPr>
        <w:adjustRightInd w:val="0"/>
        <w:snapToGrid w:val="0"/>
        <w:spacing w:line="578" w:lineRule="exact"/>
        <w:ind w:firstLine="640" w:firstLineChars="200"/>
        <w:rPr>
          <w:szCs w:val="20"/>
        </w:rPr>
      </w:pPr>
      <w:r>
        <w:rPr>
          <w:rFonts w:eastAsia="方正仿宋_GBK"/>
          <w:color w:val="000000"/>
          <w:sz w:val="32"/>
          <w:szCs w:val="32"/>
        </w:rPr>
        <w:t>任务书应结合</w:t>
      </w:r>
      <w:r>
        <w:rPr>
          <w:rFonts w:hint="eastAsia" w:ascii="方正仿宋_GBK" w:eastAsia="方正仿宋_GBK"/>
          <w:color w:val="000000"/>
          <w:sz w:val="32"/>
          <w:szCs w:val="32"/>
        </w:rPr>
        <w:t>“</w:t>
      </w:r>
      <w:r>
        <w:rPr>
          <w:rFonts w:eastAsia="方正仿宋_GBK"/>
          <w:color w:val="000000"/>
          <w:sz w:val="32"/>
          <w:szCs w:val="32"/>
        </w:rPr>
        <w:t>里程碑</w:t>
      </w:r>
      <w:r>
        <w:rPr>
          <w:rFonts w:hint="eastAsia" w:ascii="方正仿宋_GBK" w:eastAsia="方正仿宋_GBK"/>
          <w:color w:val="000000"/>
          <w:sz w:val="32"/>
          <w:szCs w:val="32"/>
        </w:rPr>
        <w:t>”</w:t>
      </w:r>
      <w:r>
        <w:rPr>
          <w:rFonts w:eastAsia="方正仿宋_GBK"/>
          <w:color w:val="000000"/>
          <w:sz w:val="32"/>
          <w:szCs w:val="32"/>
        </w:rPr>
        <w:t>考核节点及考核指标，对考核方式及要求、资金拨付方式及条件、奖惩措施和成果归属等进行具体约定。</w:t>
      </w:r>
    </w:p>
    <w:p>
      <w:pPr>
        <w:adjustRightInd w:val="0"/>
        <w:snapToGrid w:val="0"/>
        <w:spacing w:line="578" w:lineRule="exact"/>
        <w:ind w:firstLine="640" w:firstLineChars="200"/>
        <w:rPr>
          <w:rFonts w:eastAsia="方正仿宋_GBK"/>
          <w:color w:val="000000"/>
          <w:sz w:val="32"/>
          <w:szCs w:val="32"/>
        </w:rPr>
      </w:pPr>
      <w:r>
        <w:rPr>
          <w:rFonts w:eastAsia="方正黑体_GBK"/>
          <w:color w:val="000000"/>
          <w:sz w:val="32"/>
          <w:szCs w:val="32"/>
        </w:rPr>
        <w:t>第九条  企业出题类项目</w:t>
      </w:r>
    </w:p>
    <w:p>
      <w:pPr>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一）需求征集。市科技局面向重点产业链主企业或行业龙头企业征集技术需求，由企业提出需求建议。需求建议应包括需求背景、拟解决关键技术问题及技术指标、攻关成果应用形式与场景、时限要求、项目投入、对揭榜方要求、产权归属、利益分配等主要内容。</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二）榜单编制。市科技局组织主管部门、行业协会（联盟）、行业管理专家、技术专家对征集的技术需求进行充分论证，遴选出企业自投资金高、影响力大、带动作用强、应用面广的关键核心技术需求，并指导帮助需求企业进一步明确需求目标，细化关键核心指标（技术参数），严格时限要求，准确测算所需资金，编制形成建议榜单。</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（三）榜单发布。市科技局根据专家遴选意见及建议榜单编制情况，会同需求企业共同商定并按程序审定后，形成正式榜单向社会公开发布，招贤揭榜。</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四）对接揭榜。市科技局组织需求企业、申报揭榜方开展线下对接洽谈，细化任务内容、预期成果指标、产权归属、项目资金测算等。由需求企业自主择优确定成功揭榜单位或揭榜创新联合体，经双方达成合作意向后签署揭榜协议。</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（五）系统备案。完成对接揭榜后，由需求企业登录</w:t>
      </w:r>
      <w:r>
        <w:rPr>
          <w:rFonts w:hint="eastAsia" w:ascii="方正仿宋_GBK" w:eastAsia="方正仿宋_GBK"/>
          <w:color w:val="000000"/>
          <w:sz w:val="32"/>
          <w:szCs w:val="32"/>
        </w:rPr>
        <w:t>“</w:t>
      </w:r>
      <w:r>
        <w:rPr>
          <w:rFonts w:eastAsia="方正仿宋_GBK"/>
          <w:color w:val="000000"/>
          <w:sz w:val="32"/>
          <w:szCs w:val="32"/>
        </w:rPr>
        <w:t>成都市科技项目申报系统</w:t>
      </w:r>
      <w:r>
        <w:rPr>
          <w:rFonts w:hint="eastAsia" w:ascii="方正仿宋_GBK" w:eastAsia="方正仿宋_GBK"/>
          <w:color w:val="000000"/>
          <w:sz w:val="32"/>
          <w:szCs w:val="32"/>
        </w:rPr>
        <w:t>”</w:t>
      </w:r>
      <w:r>
        <w:rPr>
          <w:rFonts w:eastAsia="方正仿宋_GBK"/>
          <w:color w:val="000000"/>
          <w:sz w:val="32"/>
          <w:szCs w:val="32"/>
        </w:rPr>
        <w:t>上传确定的揭榜方案、揭榜协议以备案。</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（六）揭榜公示。市科技局根据系统备案情况，经审议通过后，形成</w:t>
      </w: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项目名单及拟补助经费方案，对外公示5个工作日。</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（七）签署</w:t>
      </w:r>
      <w:r>
        <w:rPr>
          <w:rFonts w:hint="eastAsia" w:ascii="方正仿宋_GBK" w:eastAsia="方正仿宋_GBK"/>
          <w:color w:val="000000"/>
          <w:sz w:val="32"/>
          <w:szCs w:val="32"/>
        </w:rPr>
        <w:t>“</w:t>
      </w:r>
      <w:r>
        <w:rPr>
          <w:rFonts w:eastAsia="方正仿宋_GBK"/>
          <w:color w:val="000000"/>
          <w:sz w:val="32"/>
          <w:szCs w:val="32"/>
        </w:rPr>
        <w:t>军令状</w:t>
      </w:r>
      <w:r>
        <w:rPr>
          <w:rFonts w:hint="eastAsia" w:ascii="方正仿宋_GBK" w:eastAsia="方正仿宋_GBK"/>
          <w:color w:val="000000"/>
          <w:sz w:val="32"/>
          <w:szCs w:val="32"/>
        </w:rPr>
        <w:t>”</w:t>
      </w:r>
      <w:r>
        <w:rPr>
          <w:rFonts w:eastAsia="方正仿宋_GBK"/>
          <w:color w:val="000000"/>
          <w:sz w:val="32"/>
          <w:szCs w:val="32"/>
        </w:rPr>
        <w:t>。</w:t>
      </w: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项目名单及拟补助经费方案公示无异议后，由市科技局按程序批复下达项目立项通知，并组织需求企业、揭榜方签订任务书。</w:t>
      </w:r>
    </w:p>
    <w:p>
      <w:pPr>
        <w:adjustRightInd w:val="0"/>
        <w:snapToGrid w:val="0"/>
        <w:spacing w:line="578" w:lineRule="exact"/>
        <w:ind w:firstLine="640"/>
        <w:rPr>
          <w:rFonts w:hint="eastAsia" w:ascii="方正黑体_GBK" w:eastAsia="方正黑体_GBK"/>
          <w:color w:val="000000"/>
          <w:sz w:val="32"/>
          <w:szCs w:val="32"/>
        </w:rPr>
      </w:pPr>
      <w:r>
        <w:rPr>
          <w:rFonts w:eastAsia="方正黑体_GBK"/>
          <w:color w:val="000000"/>
          <w:sz w:val="32"/>
          <w:szCs w:val="32"/>
        </w:rPr>
        <w:t>第十条  探索试行</w:t>
      </w:r>
      <w:r>
        <w:rPr>
          <w:rFonts w:hint="eastAsia" w:ascii="方正黑体_GBK" w:eastAsia="方正黑体_GBK"/>
          <w:color w:val="000000"/>
          <w:sz w:val="32"/>
          <w:szCs w:val="32"/>
        </w:rPr>
        <w:t>“赛马”</w:t>
      </w:r>
    </w:p>
    <w:p>
      <w:pPr>
        <w:autoSpaceDE w:val="0"/>
        <w:autoSpaceDN w:val="0"/>
        <w:adjustRightInd w:val="0"/>
        <w:snapToGrid w:val="0"/>
        <w:spacing w:line="578" w:lineRule="exact"/>
        <w:ind w:firstLine="640" w:firstLineChars="200"/>
        <w:rPr>
          <w:rFonts w:eastAsia="方正仿宋_GBK"/>
          <w:bCs/>
          <w:sz w:val="32"/>
          <w:szCs w:val="32"/>
        </w:rPr>
      </w:pPr>
      <w:r>
        <w:rPr>
          <w:rFonts w:eastAsia="方正仿宋_GBK"/>
          <w:bCs/>
          <w:sz w:val="32"/>
          <w:szCs w:val="32"/>
        </w:rPr>
        <w:t>对同一榜单，在揭榜时具有多个技术路线明显不同的方案，可择优选择若干个揭榜方案采取</w:t>
      </w:r>
      <w:r>
        <w:rPr>
          <w:rFonts w:hint="eastAsia" w:ascii="方正仿宋_GBK" w:eastAsia="方正仿宋_GBK"/>
          <w:bCs/>
          <w:sz w:val="32"/>
          <w:szCs w:val="32"/>
        </w:rPr>
        <w:t>“</w:t>
      </w:r>
      <w:r>
        <w:rPr>
          <w:rFonts w:eastAsia="方正仿宋_GBK"/>
          <w:bCs/>
          <w:sz w:val="32"/>
          <w:szCs w:val="32"/>
        </w:rPr>
        <w:t>赛马</w:t>
      </w:r>
      <w:r>
        <w:rPr>
          <w:rFonts w:hint="eastAsia" w:ascii="方正仿宋_GBK" w:eastAsia="方正仿宋_GBK"/>
          <w:bCs/>
          <w:sz w:val="32"/>
          <w:szCs w:val="32"/>
        </w:rPr>
        <w:t>”</w:t>
      </w:r>
      <w:r>
        <w:rPr>
          <w:rFonts w:eastAsia="方正仿宋_GBK"/>
          <w:bCs/>
          <w:sz w:val="32"/>
          <w:szCs w:val="32"/>
        </w:rPr>
        <w:t>的方式并行立项支持、并行攻关；同一榜单</w:t>
      </w:r>
      <w:r>
        <w:rPr>
          <w:rFonts w:eastAsia="方正仿宋_GBK"/>
          <w:color w:val="000000"/>
          <w:sz w:val="32"/>
          <w:szCs w:val="32"/>
        </w:rPr>
        <w:t>并行支持方案最多不超过3个</w:t>
      </w:r>
      <w:r>
        <w:rPr>
          <w:rFonts w:eastAsia="方正仿宋_GBK"/>
          <w:bCs/>
          <w:sz w:val="32"/>
          <w:szCs w:val="32"/>
        </w:rPr>
        <w:t>。项目前期实行动态竞争，中后期根据阶段性评估结果确定后续支持。</w:t>
      </w:r>
    </w:p>
    <w:p>
      <w:pPr>
        <w:autoSpaceDE w:val="0"/>
        <w:autoSpaceDN w:val="0"/>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（一）政府出题类项目。同一榜单中论证评审结果居首并列（或接近）且技术路线明显不同的揭榜方案，可采取</w:t>
      </w:r>
      <w:r>
        <w:rPr>
          <w:rFonts w:hint="eastAsia" w:ascii="方正仿宋_GBK" w:eastAsia="方正仿宋_GBK"/>
          <w:color w:val="000000"/>
          <w:sz w:val="32"/>
          <w:szCs w:val="32"/>
        </w:rPr>
        <w:t>“</w:t>
      </w:r>
      <w:r>
        <w:rPr>
          <w:rFonts w:eastAsia="方正仿宋_GBK"/>
          <w:color w:val="000000"/>
          <w:sz w:val="32"/>
          <w:szCs w:val="32"/>
        </w:rPr>
        <w:t>赛马</w:t>
      </w:r>
      <w:r>
        <w:rPr>
          <w:rFonts w:hint="eastAsia" w:ascii="方正仿宋_GBK" w:eastAsia="方正仿宋_GBK"/>
          <w:color w:val="000000"/>
          <w:sz w:val="32"/>
          <w:szCs w:val="32"/>
        </w:rPr>
        <w:t>”</w:t>
      </w:r>
      <w:r>
        <w:rPr>
          <w:rFonts w:eastAsia="方正仿宋_GBK"/>
          <w:color w:val="000000"/>
          <w:sz w:val="32"/>
          <w:szCs w:val="32"/>
        </w:rPr>
        <w:t>方式并行支持；各</w:t>
      </w:r>
      <w:r>
        <w:rPr>
          <w:rFonts w:hint="eastAsia" w:ascii="方正仿宋_GBK" w:eastAsia="方正仿宋_GBK"/>
          <w:color w:val="000000"/>
          <w:sz w:val="32"/>
          <w:szCs w:val="32"/>
        </w:rPr>
        <w:t>“</w:t>
      </w:r>
      <w:r>
        <w:rPr>
          <w:rFonts w:eastAsia="方正仿宋_GBK"/>
          <w:color w:val="000000"/>
          <w:sz w:val="32"/>
          <w:szCs w:val="32"/>
        </w:rPr>
        <w:t>赛马</w:t>
      </w:r>
      <w:r>
        <w:rPr>
          <w:rFonts w:hint="eastAsia" w:ascii="方正仿宋_GBK" w:eastAsia="方正仿宋_GBK"/>
          <w:color w:val="000000"/>
          <w:sz w:val="32"/>
          <w:szCs w:val="32"/>
        </w:rPr>
        <w:t>”</w:t>
      </w:r>
      <w:r>
        <w:rPr>
          <w:rFonts w:eastAsia="方正仿宋_GBK"/>
          <w:color w:val="000000"/>
          <w:sz w:val="32"/>
          <w:szCs w:val="32"/>
        </w:rPr>
        <w:t>项目立项金额均按榜单金额确定，中后期按任务书约定的</w:t>
      </w:r>
      <w:r>
        <w:rPr>
          <w:rFonts w:hint="eastAsia" w:ascii="方正仿宋_GBK" w:eastAsia="方正仿宋_GBK"/>
          <w:color w:val="000000"/>
          <w:sz w:val="32"/>
          <w:szCs w:val="32"/>
        </w:rPr>
        <w:t>“</w:t>
      </w:r>
      <w:r>
        <w:rPr>
          <w:rFonts w:eastAsia="方正仿宋_GBK"/>
          <w:color w:val="000000"/>
          <w:sz w:val="32"/>
          <w:szCs w:val="32"/>
        </w:rPr>
        <w:t>里程碑</w:t>
      </w:r>
      <w:r>
        <w:rPr>
          <w:rFonts w:hint="eastAsia" w:ascii="方正仿宋_GBK" w:eastAsia="方正仿宋_GBK"/>
          <w:color w:val="000000"/>
          <w:sz w:val="32"/>
          <w:szCs w:val="32"/>
        </w:rPr>
        <w:t>”</w:t>
      </w:r>
      <w:r>
        <w:rPr>
          <w:rFonts w:eastAsia="方正仿宋_GBK"/>
          <w:color w:val="000000"/>
          <w:sz w:val="32"/>
          <w:szCs w:val="32"/>
        </w:rPr>
        <w:t>节点</w:t>
      </w:r>
      <w:r>
        <w:rPr>
          <w:rFonts w:eastAsia="方正仿宋_GBK"/>
          <w:color w:val="000000"/>
          <w:sz w:val="32"/>
          <w:szCs w:val="32"/>
          <w:vertAlign w:val="superscript"/>
        </w:rPr>
        <w:footnoteReference w:id="2"/>
      </w:r>
      <w:r>
        <w:rPr>
          <w:rFonts w:eastAsia="方正仿宋_GBK"/>
          <w:color w:val="000000"/>
          <w:sz w:val="32"/>
          <w:szCs w:val="32"/>
        </w:rPr>
        <w:t>组织考核与管理。</w:t>
      </w:r>
    </w:p>
    <w:p>
      <w:pPr>
        <w:adjustRightInd w:val="0"/>
        <w:snapToGrid w:val="0"/>
        <w:spacing w:line="578" w:lineRule="exact"/>
        <w:ind w:firstLine="640"/>
        <w:rPr>
          <w:rFonts w:eastAsia="方正仿宋_GBK"/>
          <w:color w:val="000000"/>
          <w:sz w:val="32"/>
          <w:szCs w:val="32"/>
        </w:rPr>
      </w:pPr>
      <w:r>
        <w:rPr>
          <w:rFonts w:eastAsia="方正仿宋_GBK"/>
          <w:color w:val="000000"/>
          <w:sz w:val="32"/>
          <w:szCs w:val="32"/>
        </w:rPr>
        <w:t>（二）企业出题类项目。同一榜单根据对接揭榜情况，由需求企业自行确定是否</w:t>
      </w:r>
      <w:r>
        <w:rPr>
          <w:rFonts w:hint="eastAsia" w:ascii="方正仿宋_GBK" w:eastAsia="方正仿宋_GBK"/>
          <w:color w:val="000000"/>
          <w:sz w:val="32"/>
          <w:szCs w:val="32"/>
        </w:rPr>
        <w:t>“</w:t>
      </w:r>
      <w:r>
        <w:rPr>
          <w:rFonts w:eastAsia="方正仿宋_GBK"/>
          <w:color w:val="000000"/>
          <w:sz w:val="32"/>
          <w:szCs w:val="32"/>
        </w:rPr>
        <w:t>赛马</w:t>
      </w:r>
      <w:r>
        <w:rPr>
          <w:rFonts w:hint="eastAsia" w:ascii="方正仿宋_GBK" w:eastAsia="方正仿宋_GBK"/>
          <w:color w:val="000000"/>
          <w:sz w:val="32"/>
          <w:szCs w:val="32"/>
        </w:rPr>
        <w:t>”</w:t>
      </w:r>
      <w:r>
        <w:rPr>
          <w:rFonts w:eastAsia="方正仿宋_GBK"/>
          <w:color w:val="000000"/>
          <w:sz w:val="32"/>
          <w:szCs w:val="32"/>
        </w:rPr>
        <w:t>及</w:t>
      </w:r>
      <w:r>
        <w:rPr>
          <w:rFonts w:hint="eastAsia" w:ascii="方正仿宋_GBK" w:eastAsia="方正仿宋_GBK"/>
          <w:color w:val="000000"/>
          <w:sz w:val="32"/>
          <w:szCs w:val="32"/>
        </w:rPr>
        <w:t>“</w:t>
      </w:r>
      <w:r>
        <w:rPr>
          <w:rFonts w:eastAsia="方正仿宋_GBK"/>
          <w:color w:val="000000"/>
          <w:sz w:val="32"/>
          <w:szCs w:val="32"/>
        </w:rPr>
        <w:t>赛马</w:t>
      </w:r>
      <w:r>
        <w:rPr>
          <w:rFonts w:hint="eastAsia" w:ascii="方正仿宋_GBK" w:eastAsia="方正仿宋_GBK"/>
          <w:color w:val="000000"/>
          <w:sz w:val="32"/>
          <w:szCs w:val="32"/>
        </w:rPr>
        <w:t>”</w:t>
      </w:r>
      <w:r>
        <w:rPr>
          <w:rFonts w:eastAsia="方正仿宋_GBK"/>
          <w:color w:val="000000"/>
          <w:sz w:val="32"/>
          <w:szCs w:val="32"/>
        </w:rPr>
        <w:t>项目数量；财政科技专项资金对需求企业的补助总额，根据</w:t>
      </w:r>
      <w:r>
        <w:rPr>
          <w:rFonts w:hint="eastAsia" w:ascii="方正仿宋_GBK" w:eastAsia="方正仿宋_GBK"/>
          <w:color w:val="000000"/>
          <w:sz w:val="32"/>
          <w:szCs w:val="32"/>
        </w:rPr>
        <w:t>“</w:t>
      </w:r>
      <w:r>
        <w:rPr>
          <w:rFonts w:eastAsia="方正仿宋_GBK"/>
          <w:color w:val="000000"/>
          <w:sz w:val="32"/>
          <w:szCs w:val="32"/>
        </w:rPr>
        <w:t>赛马</w:t>
      </w:r>
      <w:r>
        <w:rPr>
          <w:rFonts w:hint="eastAsia" w:ascii="方正仿宋_GBK" w:eastAsia="方正仿宋_GBK"/>
          <w:color w:val="000000"/>
          <w:sz w:val="32"/>
          <w:szCs w:val="32"/>
        </w:rPr>
        <w:t>”</w:t>
      </w:r>
      <w:r>
        <w:rPr>
          <w:rFonts w:eastAsia="方正仿宋_GBK"/>
          <w:color w:val="000000"/>
          <w:sz w:val="32"/>
          <w:szCs w:val="32"/>
        </w:rPr>
        <w:t>数量累计计算。</w:t>
      </w:r>
    </w:p>
    <w:p>
      <w:pPr>
        <w:adjustRightInd w:val="0"/>
        <w:snapToGrid w:val="0"/>
        <w:spacing w:line="578" w:lineRule="exact"/>
        <w:rPr>
          <w:rFonts w:eastAsia="方正仿宋_GBK"/>
          <w:color w:val="000000"/>
          <w:sz w:val="32"/>
          <w:szCs w:val="32"/>
        </w:rPr>
      </w:pPr>
    </w:p>
    <w:p>
      <w:pPr>
        <w:adjustRightInd w:val="0"/>
        <w:snapToGrid w:val="0"/>
        <w:spacing w:line="578" w:lineRule="exact"/>
        <w:jc w:val="center"/>
        <w:rPr>
          <w:rFonts w:eastAsia="方正黑体_GBK"/>
          <w:color w:val="000000"/>
          <w:sz w:val="32"/>
          <w:szCs w:val="32"/>
        </w:rPr>
      </w:pPr>
      <w:r>
        <w:rPr>
          <w:rFonts w:eastAsia="方正黑体_GBK"/>
          <w:color w:val="000000"/>
          <w:sz w:val="32"/>
          <w:szCs w:val="32"/>
        </w:rPr>
        <w:t>第四章  改革与管理</w:t>
      </w:r>
    </w:p>
    <w:p>
      <w:pPr>
        <w:adjustRightInd w:val="0"/>
        <w:snapToGrid w:val="0"/>
        <w:spacing w:line="578" w:lineRule="exact"/>
        <w:ind w:firstLine="645"/>
        <w:rPr>
          <w:rFonts w:eastAsia="方正仿宋_GBK"/>
          <w:color w:val="000000"/>
          <w:sz w:val="32"/>
          <w:szCs w:val="32"/>
        </w:rPr>
      </w:pPr>
      <w:r>
        <w:rPr>
          <w:rFonts w:eastAsia="方正黑体_GBK"/>
          <w:color w:val="000000"/>
          <w:sz w:val="32"/>
          <w:szCs w:val="32"/>
        </w:rPr>
        <w:t>第十一条  简化揭榜条件</w:t>
      </w:r>
    </w:p>
    <w:p>
      <w:pPr>
        <w:adjustRightInd w:val="0"/>
        <w:snapToGrid w:val="0"/>
        <w:spacing w:line="578" w:lineRule="exact"/>
        <w:ind w:firstLine="645"/>
        <w:rPr>
          <w:rFonts w:eastAsia="方正仿宋_GBK"/>
          <w:color w:val="000000"/>
          <w:sz w:val="32"/>
          <w:szCs w:val="32"/>
        </w:rPr>
      </w:pP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项目对揭榜单位无注册时间要求，对项目负责人和团队无年龄、学历和职称要求。</w:t>
      </w:r>
    </w:p>
    <w:p>
      <w:pPr>
        <w:adjustRightInd w:val="0"/>
        <w:snapToGrid w:val="0"/>
        <w:spacing w:line="578" w:lineRule="exact"/>
        <w:ind w:firstLine="640"/>
        <w:rPr>
          <w:rFonts w:eastAsia="方正黑体_GBK"/>
          <w:color w:val="000000"/>
          <w:sz w:val="32"/>
          <w:szCs w:val="32"/>
        </w:rPr>
      </w:pPr>
      <w:r>
        <w:rPr>
          <w:rFonts w:eastAsia="方正黑体_GBK"/>
          <w:color w:val="000000"/>
          <w:sz w:val="32"/>
          <w:szCs w:val="32"/>
        </w:rPr>
        <w:t>第十二条  突出挂帅攻关</w:t>
      </w:r>
    </w:p>
    <w:p>
      <w:pPr>
        <w:autoSpaceDE w:val="0"/>
        <w:autoSpaceDN w:val="0"/>
        <w:adjustRightInd w:val="0"/>
        <w:snapToGrid w:val="0"/>
        <w:spacing w:line="578" w:lineRule="exact"/>
        <w:ind w:firstLine="640" w:firstLineChars="200"/>
        <w:rPr>
          <w:rFonts w:eastAsia="方正仿宋_GBK"/>
          <w:color w:val="000000"/>
          <w:sz w:val="32"/>
          <w:szCs w:val="32"/>
        </w:rPr>
      </w:pPr>
      <w:bookmarkStart w:id="0" w:name="OLE_LINK1"/>
      <w:r>
        <w:rPr>
          <w:rFonts w:eastAsia="方正仿宋_GBK"/>
          <w:bCs/>
          <w:sz w:val="32"/>
          <w:szCs w:val="32"/>
        </w:rPr>
        <w:t>赋予</w:t>
      </w:r>
      <w:r>
        <w:rPr>
          <w:rFonts w:eastAsia="方正仿宋_GBK"/>
          <w:color w:val="000000"/>
          <w:sz w:val="32"/>
          <w:szCs w:val="32"/>
        </w:rPr>
        <w:t>揭榜方攻关</w:t>
      </w:r>
      <w:r>
        <w:rPr>
          <w:rFonts w:eastAsia="方正仿宋_GBK"/>
          <w:bCs/>
          <w:sz w:val="32"/>
          <w:szCs w:val="32"/>
        </w:rPr>
        <w:t>方案制定、技术路线确定、攻关团队组建、经费支出管理等自主权。</w:t>
      </w:r>
      <w:r>
        <w:rPr>
          <w:rFonts w:eastAsia="方正仿宋_GBK"/>
          <w:color w:val="000000"/>
          <w:sz w:val="32"/>
          <w:szCs w:val="32"/>
        </w:rPr>
        <w:t>项目立项后，不得更换揭榜方，项目负责人在揭榜攻关期间不得随意更换。</w:t>
      </w:r>
    </w:p>
    <w:p>
      <w:pPr>
        <w:adjustRightInd w:val="0"/>
        <w:snapToGrid w:val="0"/>
        <w:spacing w:line="578" w:lineRule="exact"/>
        <w:ind w:firstLine="640"/>
        <w:rPr>
          <w:rFonts w:eastAsia="方正黑体_GBK"/>
          <w:color w:val="000000"/>
          <w:sz w:val="32"/>
          <w:szCs w:val="32"/>
        </w:rPr>
      </w:pPr>
      <w:r>
        <w:rPr>
          <w:rFonts w:eastAsia="方正黑体_GBK"/>
          <w:color w:val="000000"/>
          <w:sz w:val="32"/>
          <w:szCs w:val="32"/>
        </w:rPr>
        <w:t>第十三条  经费实行</w:t>
      </w:r>
      <w:r>
        <w:rPr>
          <w:rFonts w:hint="eastAsia" w:ascii="方正黑体_GBK" w:eastAsia="方正黑体_GBK"/>
          <w:color w:val="000000"/>
          <w:sz w:val="32"/>
          <w:szCs w:val="32"/>
        </w:rPr>
        <w:t>“</w:t>
      </w:r>
      <w:r>
        <w:rPr>
          <w:rFonts w:eastAsia="方正黑体_GBK"/>
          <w:color w:val="000000"/>
          <w:sz w:val="32"/>
          <w:szCs w:val="32"/>
        </w:rPr>
        <w:t>包干+负面清单</w:t>
      </w:r>
      <w:r>
        <w:rPr>
          <w:rFonts w:hint="eastAsia" w:ascii="方正黑体_GBK" w:eastAsia="方正黑体_GBK"/>
          <w:color w:val="000000"/>
          <w:sz w:val="32"/>
          <w:szCs w:val="32"/>
        </w:rPr>
        <w:t>”</w:t>
      </w:r>
      <w:r>
        <w:rPr>
          <w:rFonts w:eastAsia="方正黑体_GBK"/>
          <w:color w:val="000000"/>
          <w:sz w:val="32"/>
          <w:szCs w:val="32"/>
        </w:rPr>
        <w:t>制</w:t>
      </w:r>
    </w:p>
    <w:p>
      <w:pPr>
        <w:autoSpaceDE w:val="0"/>
        <w:autoSpaceDN w:val="0"/>
        <w:adjustRightInd w:val="0"/>
        <w:snapToGrid w:val="0"/>
        <w:spacing w:line="578" w:lineRule="exact"/>
        <w:ind w:firstLine="640" w:firstLineChars="200"/>
        <w:rPr>
          <w:szCs w:val="20"/>
        </w:rPr>
      </w:pPr>
      <w:r>
        <w:rPr>
          <w:rFonts w:eastAsia="方正仿宋_GBK"/>
          <w:color w:val="000000"/>
          <w:sz w:val="32"/>
          <w:szCs w:val="32"/>
        </w:rPr>
        <w:t>政府出题类项目申报揭榜时不填预算申报书，评榜时取消预算评审。任务书签订后，财政科技经费参照《成都市市级财政科研项目经费</w:t>
      </w:r>
      <w:r>
        <w:rPr>
          <w:rFonts w:hint="eastAsia" w:ascii="方正仿宋_GBK" w:eastAsia="方正仿宋_GBK"/>
          <w:color w:val="000000"/>
          <w:sz w:val="32"/>
          <w:szCs w:val="32"/>
        </w:rPr>
        <w:t>“</w:t>
      </w:r>
      <w:r>
        <w:rPr>
          <w:rFonts w:eastAsia="方正仿宋_GBK"/>
          <w:color w:val="000000"/>
          <w:sz w:val="32"/>
          <w:szCs w:val="32"/>
        </w:rPr>
        <w:t>包干+负面清单</w:t>
      </w:r>
      <w:r>
        <w:rPr>
          <w:rFonts w:hint="eastAsia" w:ascii="方正仿宋_GBK" w:eastAsia="方正仿宋_GBK"/>
          <w:color w:val="000000"/>
          <w:sz w:val="32"/>
          <w:szCs w:val="32"/>
        </w:rPr>
        <w:t>”</w:t>
      </w:r>
      <w:r>
        <w:rPr>
          <w:rFonts w:eastAsia="方正仿宋_GBK"/>
          <w:color w:val="000000"/>
          <w:sz w:val="32"/>
          <w:szCs w:val="32"/>
        </w:rPr>
        <w:t>制暂行办法》使用和管理。</w:t>
      </w:r>
    </w:p>
    <w:bookmarkEnd w:id="0"/>
    <w:p>
      <w:pPr>
        <w:adjustRightInd w:val="0"/>
        <w:snapToGrid w:val="0"/>
        <w:spacing w:line="578" w:lineRule="exact"/>
        <w:ind w:firstLine="640"/>
        <w:rPr>
          <w:rFonts w:eastAsia="方正黑体_GBK"/>
          <w:color w:val="000000"/>
          <w:sz w:val="32"/>
          <w:szCs w:val="32"/>
        </w:rPr>
      </w:pPr>
      <w:r>
        <w:rPr>
          <w:rFonts w:eastAsia="方正黑体_GBK"/>
          <w:color w:val="000000"/>
          <w:sz w:val="32"/>
          <w:szCs w:val="32"/>
        </w:rPr>
        <w:t>第十四条  实</w:t>
      </w:r>
      <w:r>
        <w:rPr>
          <w:rFonts w:hint="eastAsia" w:ascii="方正黑体_GBK" w:eastAsia="方正黑体_GBK"/>
          <w:color w:val="000000"/>
          <w:sz w:val="32"/>
          <w:szCs w:val="32"/>
        </w:rPr>
        <w:t>行“里程碑”</w:t>
      </w:r>
      <w:r>
        <w:rPr>
          <w:rFonts w:eastAsia="方正黑体_GBK"/>
          <w:color w:val="000000"/>
          <w:sz w:val="32"/>
          <w:szCs w:val="32"/>
        </w:rPr>
        <w:t>管理</w:t>
      </w:r>
    </w:p>
    <w:p>
      <w:pPr>
        <w:autoSpaceDE w:val="0"/>
        <w:autoSpaceDN w:val="0"/>
        <w:adjustRightInd w:val="0"/>
        <w:snapToGrid w:val="0"/>
        <w:spacing w:line="578" w:lineRule="exact"/>
        <w:ind w:firstLine="648" w:firstLineChars="200"/>
        <w:rPr>
          <w:rFonts w:eastAsia="方正仿宋_GBK"/>
          <w:color w:val="000000"/>
          <w:spacing w:val="2"/>
          <w:sz w:val="32"/>
          <w:szCs w:val="32"/>
        </w:rPr>
      </w:pPr>
      <w:r>
        <w:rPr>
          <w:rFonts w:eastAsia="方正仿宋_GBK"/>
          <w:color w:val="000000"/>
          <w:spacing w:val="2"/>
          <w:sz w:val="32"/>
          <w:szCs w:val="32"/>
        </w:rPr>
        <w:t>根据项目实施计划设置</w:t>
      </w:r>
      <w:r>
        <w:rPr>
          <w:rFonts w:hint="eastAsia" w:ascii="方正仿宋_GBK" w:eastAsia="方正仿宋_GBK"/>
          <w:color w:val="000000"/>
          <w:spacing w:val="2"/>
          <w:sz w:val="32"/>
          <w:szCs w:val="32"/>
        </w:rPr>
        <w:t>“</w:t>
      </w:r>
      <w:r>
        <w:rPr>
          <w:rFonts w:eastAsia="方正仿宋_GBK"/>
          <w:color w:val="000000"/>
          <w:spacing w:val="2"/>
          <w:sz w:val="32"/>
          <w:szCs w:val="32"/>
        </w:rPr>
        <w:t>里程碑</w:t>
      </w:r>
      <w:r>
        <w:rPr>
          <w:rFonts w:hint="eastAsia" w:ascii="方正仿宋_GBK" w:eastAsia="方正仿宋_GBK"/>
          <w:color w:val="000000"/>
          <w:spacing w:val="2"/>
          <w:sz w:val="32"/>
          <w:szCs w:val="32"/>
        </w:rPr>
        <w:t>”</w:t>
      </w:r>
      <w:r>
        <w:rPr>
          <w:rFonts w:eastAsia="方正仿宋_GBK"/>
          <w:color w:val="000000"/>
          <w:spacing w:val="2"/>
          <w:sz w:val="32"/>
          <w:szCs w:val="32"/>
        </w:rPr>
        <w:t>节点，每个</w:t>
      </w:r>
      <w:r>
        <w:rPr>
          <w:rFonts w:hint="eastAsia" w:ascii="方正仿宋_GBK" w:eastAsia="方正仿宋_GBK"/>
          <w:color w:val="000000"/>
          <w:spacing w:val="2"/>
          <w:sz w:val="32"/>
          <w:szCs w:val="32"/>
        </w:rPr>
        <w:t>“</w:t>
      </w:r>
      <w:r>
        <w:rPr>
          <w:rFonts w:eastAsia="方正仿宋_GBK"/>
          <w:color w:val="000000"/>
          <w:spacing w:val="2"/>
          <w:sz w:val="32"/>
          <w:szCs w:val="32"/>
        </w:rPr>
        <w:t>里程碑</w:t>
      </w:r>
      <w:r>
        <w:rPr>
          <w:rFonts w:hint="eastAsia" w:ascii="方正仿宋_GBK" w:eastAsia="方正仿宋_GBK"/>
          <w:color w:val="000000"/>
          <w:spacing w:val="2"/>
          <w:sz w:val="32"/>
          <w:szCs w:val="32"/>
        </w:rPr>
        <w:t>”</w:t>
      </w:r>
      <w:r>
        <w:rPr>
          <w:rFonts w:eastAsia="方正仿宋_GBK"/>
          <w:color w:val="000000"/>
          <w:spacing w:val="2"/>
          <w:sz w:val="32"/>
          <w:szCs w:val="32"/>
        </w:rPr>
        <w:t>节点应包括阶段攻关任务、完成时间节点、对应指标及考核方式。</w:t>
      </w:r>
    </w:p>
    <w:p>
      <w:pPr>
        <w:autoSpaceDE w:val="0"/>
        <w:autoSpaceDN w:val="0"/>
        <w:adjustRightInd w:val="0"/>
        <w:snapToGrid w:val="0"/>
        <w:spacing w:line="578" w:lineRule="exact"/>
        <w:ind w:firstLine="640" w:firstLineChars="200"/>
        <w:rPr>
          <w:rFonts w:eastAsia="方正仿宋_GBK"/>
          <w:color w:val="000000"/>
          <w:sz w:val="32"/>
          <w:szCs w:val="32"/>
        </w:rPr>
      </w:pPr>
      <w:r>
        <w:rPr>
          <w:rFonts w:eastAsia="方正仿宋_GBK"/>
          <w:color w:val="000000"/>
          <w:sz w:val="32"/>
          <w:szCs w:val="32"/>
        </w:rPr>
        <w:t>市科技局委托第三方机构</w:t>
      </w:r>
      <w:r>
        <w:rPr>
          <w:rFonts w:eastAsia="方正仿宋_GBK"/>
          <w:color w:val="000000"/>
          <w:sz w:val="32"/>
          <w:szCs w:val="32"/>
          <w:vertAlign w:val="superscript"/>
        </w:rPr>
        <w:footnoteReference w:id="3"/>
      </w:r>
      <w:r>
        <w:rPr>
          <w:rFonts w:eastAsia="方正仿宋_GBK"/>
          <w:color w:val="000000"/>
          <w:sz w:val="32"/>
          <w:szCs w:val="32"/>
        </w:rPr>
        <w:t>根据</w:t>
      </w:r>
      <w:r>
        <w:rPr>
          <w:rFonts w:hint="eastAsia" w:ascii="方正仿宋_GBK" w:eastAsia="方正仿宋_GBK"/>
          <w:color w:val="000000"/>
          <w:sz w:val="32"/>
          <w:szCs w:val="32"/>
        </w:rPr>
        <w:t>“</w:t>
      </w:r>
      <w:r>
        <w:rPr>
          <w:rFonts w:eastAsia="方正仿宋_GBK"/>
          <w:color w:val="000000"/>
          <w:sz w:val="32"/>
          <w:szCs w:val="32"/>
        </w:rPr>
        <w:t>里程碑</w:t>
      </w:r>
      <w:r>
        <w:rPr>
          <w:rFonts w:hint="eastAsia" w:ascii="方正仿宋_GBK" w:eastAsia="方正仿宋_GBK"/>
          <w:color w:val="000000"/>
          <w:sz w:val="32"/>
          <w:szCs w:val="32"/>
        </w:rPr>
        <w:t>”</w:t>
      </w:r>
      <w:r>
        <w:rPr>
          <w:rFonts w:eastAsia="方正仿宋_GBK"/>
          <w:color w:val="000000"/>
          <w:sz w:val="32"/>
          <w:szCs w:val="32"/>
        </w:rPr>
        <w:t>节点做好跟踪服务，及时协调解决问题。对实施不力的，进行督促整改；确因无法继续实施的，任务书签署方均可提出终止实施建议，并按《成都市科技计划项目管理办法》（成科字〔2021〕6号）和有关规程办理终止实施手续。</w:t>
      </w:r>
    </w:p>
    <w:p>
      <w:pPr>
        <w:adjustRightInd w:val="0"/>
        <w:snapToGrid w:val="0"/>
        <w:spacing w:line="578" w:lineRule="exact"/>
        <w:ind w:firstLine="640"/>
        <w:rPr>
          <w:rFonts w:eastAsia="方正黑体_GBK"/>
          <w:color w:val="000000"/>
          <w:sz w:val="32"/>
          <w:szCs w:val="32"/>
        </w:rPr>
      </w:pPr>
      <w:r>
        <w:rPr>
          <w:rFonts w:eastAsia="方正黑体_GBK"/>
          <w:color w:val="000000"/>
          <w:sz w:val="32"/>
          <w:szCs w:val="32"/>
        </w:rPr>
        <w:t>第十五条  强化绩效评价</w:t>
      </w:r>
    </w:p>
    <w:p>
      <w:pPr>
        <w:adjustRightInd w:val="0"/>
        <w:snapToGrid w:val="0"/>
        <w:spacing w:line="578" w:lineRule="exact"/>
        <w:ind w:firstLine="645"/>
        <w:rPr>
          <w:rFonts w:eastAsia="方正仿宋_GBK"/>
          <w:color w:val="000000"/>
          <w:sz w:val="32"/>
          <w:szCs w:val="32"/>
        </w:rPr>
      </w:pPr>
      <w:r>
        <w:rPr>
          <w:rFonts w:eastAsia="方正仿宋_GBK"/>
          <w:color w:val="000000"/>
          <w:sz w:val="32"/>
          <w:szCs w:val="32"/>
        </w:rPr>
        <w:t>项目完成后，由市科技局会同有关产业（行业）主管部门组织专家、最终用户对照任务书约定内容，在真实应用场景下综合运用实地勘察、应用环境验证、第三方测评等方式开展考核验收。</w:t>
      </w:r>
    </w:p>
    <w:p>
      <w:pPr>
        <w:autoSpaceDE w:val="0"/>
        <w:autoSpaceDN w:val="0"/>
        <w:adjustRightInd w:val="0"/>
        <w:snapToGrid w:val="0"/>
        <w:spacing w:line="578" w:lineRule="exact"/>
        <w:ind w:firstLine="640" w:firstLineChars="200"/>
        <w:rPr>
          <w:rFonts w:eastAsia="方正仿宋_GBK"/>
          <w:color w:val="000000"/>
          <w:sz w:val="32"/>
          <w:szCs w:val="32"/>
        </w:rPr>
      </w:pPr>
      <w:r>
        <w:rPr>
          <w:rFonts w:eastAsia="方正黑体_GBK"/>
          <w:color w:val="000000"/>
          <w:sz w:val="32"/>
          <w:szCs w:val="32"/>
        </w:rPr>
        <w:t>第十六条  改革经费拨付</w:t>
      </w:r>
    </w:p>
    <w:p>
      <w:pPr>
        <w:adjustRightInd w:val="0"/>
        <w:snapToGrid w:val="0"/>
        <w:spacing w:line="600" w:lineRule="exact"/>
        <w:rPr>
          <w:rFonts w:eastAsia="方正仿宋_GBK"/>
          <w:color w:val="000000"/>
          <w:sz w:val="32"/>
          <w:szCs w:val="32"/>
        </w:rPr>
      </w:pPr>
      <w:r>
        <w:rPr>
          <w:rFonts w:eastAsia="方正仿宋_GBK"/>
          <w:color w:val="000000"/>
          <w:sz w:val="32"/>
          <w:szCs w:val="32"/>
        </w:rPr>
        <w:t>　　政府出题类项目财政资金分三次拨付，原则上任务书签订当年给予揭榜金额40%、关键</w:t>
      </w:r>
      <w:r>
        <w:rPr>
          <w:rFonts w:hint="eastAsia" w:ascii="方正仿宋_GBK" w:eastAsia="方正仿宋_GBK"/>
          <w:color w:val="000000"/>
          <w:sz w:val="32"/>
          <w:szCs w:val="32"/>
        </w:rPr>
        <w:t>“</w:t>
      </w:r>
      <w:r>
        <w:rPr>
          <w:rFonts w:eastAsia="方正仿宋_GBK"/>
          <w:color w:val="000000"/>
          <w:sz w:val="32"/>
          <w:szCs w:val="32"/>
        </w:rPr>
        <w:t>里程碑</w:t>
      </w:r>
      <w:r>
        <w:rPr>
          <w:rFonts w:hint="eastAsia" w:ascii="方正仿宋_GBK" w:eastAsia="方正仿宋_GBK"/>
          <w:color w:val="000000"/>
          <w:sz w:val="32"/>
          <w:szCs w:val="32"/>
        </w:rPr>
        <w:t>”</w:t>
      </w:r>
      <w:r>
        <w:rPr>
          <w:rFonts w:eastAsia="方正仿宋_GBK"/>
          <w:color w:val="000000"/>
          <w:sz w:val="32"/>
          <w:szCs w:val="32"/>
        </w:rPr>
        <w:t>节点考核通过后给予揭榜金额30%、任务执行到期经考核验收通过后最后给予揭榜金额30%。企业出题类项目验收通过后，凭经审计的拨付揭榜方资金凭证，一次性给予需求企业财政资金后补助；</w:t>
      </w:r>
      <w:r>
        <w:rPr>
          <w:rFonts w:eastAsia="方正仿宋_GBK"/>
          <w:color w:val="333333"/>
          <w:sz w:val="32"/>
          <w:szCs w:val="32"/>
        </w:rPr>
        <w:t>审计金额高于项目立项拟补助金额的，按立项拟补助金额补助，审计金额低于项目立项拟补助金额的，按审计金额补助。</w:t>
      </w:r>
    </w:p>
    <w:p>
      <w:pPr>
        <w:adjustRightInd w:val="0"/>
        <w:snapToGrid w:val="0"/>
        <w:spacing w:line="600" w:lineRule="exact"/>
        <w:ind w:firstLine="645"/>
        <w:rPr>
          <w:rFonts w:eastAsia="方正黑体_GBK"/>
          <w:color w:val="000000"/>
          <w:sz w:val="32"/>
          <w:szCs w:val="32"/>
        </w:rPr>
      </w:pPr>
      <w:r>
        <w:rPr>
          <w:rFonts w:eastAsia="方正黑体_GBK"/>
          <w:color w:val="000000"/>
          <w:sz w:val="32"/>
          <w:szCs w:val="32"/>
        </w:rPr>
        <w:t>第十七条  强化诚信管理</w:t>
      </w:r>
    </w:p>
    <w:p>
      <w:pPr>
        <w:adjustRightInd w:val="0"/>
        <w:snapToGrid w:val="0"/>
        <w:spacing w:line="600" w:lineRule="exact"/>
        <w:ind w:firstLine="645"/>
        <w:rPr>
          <w:rFonts w:eastAsia="方正仿宋_GBK"/>
          <w:color w:val="000000"/>
          <w:spacing w:val="7"/>
          <w:sz w:val="32"/>
          <w:szCs w:val="32"/>
        </w:rPr>
      </w:pPr>
      <w:r>
        <w:rPr>
          <w:rFonts w:eastAsia="方正仿宋_GBK"/>
          <w:color w:val="000000"/>
          <w:spacing w:val="7"/>
          <w:sz w:val="32"/>
          <w:szCs w:val="32"/>
        </w:rPr>
        <w:t>需求单位、揭榜方应本着实事求是的精神，严格遵循科研诚信有关规定，坚决杜绝弄虚作假、串通控榜等不良行为发生。</w:t>
      </w:r>
    </w:p>
    <w:p>
      <w:pPr>
        <w:adjustRightInd w:val="0"/>
        <w:snapToGrid w:val="0"/>
        <w:spacing w:line="600" w:lineRule="exact"/>
        <w:ind w:firstLine="645"/>
        <w:rPr>
          <w:rFonts w:eastAsia="方正仿宋_GBK"/>
          <w:color w:val="000000"/>
          <w:sz w:val="32"/>
          <w:szCs w:val="32"/>
        </w:rPr>
      </w:pPr>
      <w:r>
        <w:rPr>
          <w:rFonts w:eastAsia="方正仿宋_GBK"/>
          <w:color w:val="000000"/>
          <w:sz w:val="32"/>
          <w:szCs w:val="32"/>
        </w:rPr>
        <w:t>对弄虚作假或故意串通等影响</w:t>
      </w:r>
      <w:r>
        <w:rPr>
          <w:rFonts w:hint="eastAsia" w:ascii="方正仿宋_GBK" w:eastAsia="方正仿宋_GBK"/>
          <w:color w:val="000000"/>
          <w:sz w:val="32"/>
          <w:szCs w:val="32"/>
        </w:rPr>
        <w:t>“</w:t>
      </w:r>
      <w:r>
        <w:rPr>
          <w:rFonts w:eastAsia="方正仿宋_GBK"/>
          <w:color w:val="000000"/>
          <w:sz w:val="32"/>
          <w:szCs w:val="32"/>
        </w:rPr>
        <w:t>揭榜挂帅</w:t>
      </w:r>
      <w:r>
        <w:rPr>
          <w:rFonts w:hint="eastAsia" w:ascii="方正仿宋_GBK" w:eastAsia="方正仿宋_GBK"/>
          <w:color w:val="000000"/>
          <w:sz w:val="32"/>
          <w:szCs w:val="32"/>
        </w:rPr>
        <w:t>”</w:t>
      </w:r>
      <w:r>
        <w:rPr>
          <w:rFonts w:eastAsia="方正仿宋_GBK"/>
          <w:color w:val="000000"/>
          <w:sz w:val="32"/>
          <w:szCs w:val="32"/>
        </w:rPr>
        <w:t>正常执行的行为，一经查实，市科技局将会同相关部门按照有关规定给予严肃处理，并依规列入失信行为记录或进行失信行为惩戒；涉嫌违法的，移送司法机关处理。</w:t>
      </w:r>
    </w:p>
    <w:p>
      <w:pPr>
        <w:adjustRightInd w:val="0"/>
        <w:snapToGrid w:val="0"/>
        <w:spacing w:line="600" w:lineRule="exact"/>
        <w:ind w:firstLine="640"/>
        <w:rPr>
          <w:rFonts w:eastAsia="方正仿宋_GBK"/>
          <w:color w:val="000000"/>
          <w:sz w:val="32"/>
          <w:szCs w:val="32"/>
        </w:rPr>
      </w:pPr>
      <w:r>
        <w:rPr>
          <w:rFonts w:eastAsia="方正黑体_GBK"/>
          <w:color w:val="000000"/>
          <w:sz w:val="32"/>
          <w:szCs w:val="32"/>
        </w:rPr>
        <w:t>第十八条  明确成果权属</w:t>
      </w:r>
      <w:r>
        <w:rPr>
          <w:rFonts w:eastAsia="方正仿宋_GBK"/>
          <w:color w:val="000000"/>
          <w:sz w:val="32"/>
          <w:szCs w:val="32"/>
        </w:rPr>
        <w:t> </w:t>
      </w:r>
    </w:p>
    <w:p>
      <w:pPr>
        <w:adjustRightInd w:val="0"/>
        <w:snapToGrid w:val="0"/>
        <w:spacing w:line="600" w:lineRule="exact"/>
        <w:ind w:firstLine="640"/>
        <w:rPr>
          <w:rFonts w:eastAsia="方正仿宋_GBK"/>
          <w:color w:val="000000"/>
          <w:sz w:val="32"/>
          <w:szCs w:val="32"/>
        </w:rPr>
      </w:pPr>
      <w:r>
        <w:rPr>
          <w:rFonts w:eastAsia="方正仿宋_GBK"/>
          <w:color w:val="000000"/>
          <w:sz w:val="32"/>
          <w:szCs w:val="32"/>
        </w:rPr>
        <w:t>利用财政科技资金在项目实施中形成的科技成果，在不损害国家安全、国家利益和重大社会公共利益的前提下，授权项目承担者依法取得相关知识产权。</w:t>
      </w:r>
    </w:p>
    <w:p>
      <w:pPr>
        <w:adjustRightInd w:val="0"/>
        <w:snapToGrid w:val="0"/>
        <w:spacing w:line="600" w:lineRule="exact"/>
        <w:ind w:firstLine="640"/>
        <w:rPr>
          <w:rFonts w:eastAsia="方正仿宋_GBK"/>
          <w:color w:val="000000"/>
          <w:sz w:val="32"/>
          <w:szCs w:val="32"/>
        </w:rPr>
      </w:pPr>
      <w:r>
        <w:rPr>
          <w:rFonts w:eastAsia="方正仿宋_GBK"/>
          <w:color w:val="000000"/>
          <w:sz w:val="32"/>
          <w:szCs w:val="32"/>
        </w:rPr>
        <w:t>揭榜方和参与揭榜方应事先签署正式协议，约定成果和知识产权的权益分配。</w:t>
      </w:r>
    </w:p>
    <w:p>
      <w:pPr>
        <w:adjustRightInd w:val="0"/>
        <w:snapToGrid w:val="0"/>
        <w:spacing w:line="600" w:lineRule="exact"/>
        <w:ind w:firstLine="640"/>
        <w:rPr>
          <w:rFonts w:hint="eastAsia" w:eastAsia="方正仿宋_GBK"/>
          <w:color w:val="000000"/>
          <w:sz w:val="32"/>
          <w:szCs w:val="32"/>
        </w:rPr>
      </w:pPr>
      <w:r>
        <w:rPr>
          <w:rFonts w:eastAsia="方正仿宋_GBK"/>
          <w:color w:val="000000"/>
          <w:sz w:val="32"/>
          <w:szCs w:val="32"/>
        </w:rPr>
        <w:t>企业出题类项目实施中所产生的科技成果及相关知识产权，由需求企业与揭榜方在揭榜协议中对其归属、使用及利益分配予以明确约定。</w:t>
      </w:r>
    </w:p>
    <w:p>
      <w:pPr>
        <w:adjustRightInd w:val="0"/>
        <w:snapToGrid w:val="0"/>
        <w:spacing w:line="578" w:lineRule="exact"/>
        <w:ind w:firstLine="640"/>
        <w:rPr>
          <w:rFonts w:eastAsia="方正仿宋_GBK"/>
          <w:color w:val="000000"/>
          <w:sz w:val="32"/>
          <w:szCs w:val="32"/>
        </w:rPr>
      </w:pPr>
    </w:p>
    <w:p>
      <w:pPr>
        <w:adjustRightInd w:val="0"/>
        <w:snapToGrid w:val="0"/>
        <w:spacing w:line="578" w:lineRule="exact"/>
        <w:jc w:val="center"/>
        <w:rPr>
          <w:rFonts w:eastAsia="方正黑体_GBK"/>
          <w:color w:val="000000"/>
          <w:sz w:val="32"/>
          <w:szCs w:val="32"/>
        </w:rPr>
      </w:pPr>
      <w:r>
        <w:rPr>
          <w:rFonts w:eastAsia="方正黑体_GBK"/>
          <w:color w:val="000000"/>
          <w:sz w:val="32"/>
          <w:szCs w:val="32"/>
        </w:rPr>
        <w:t>第五章　附 则</w:t>
      </w:r>
    </w:p>
    <w:p>
      <w:pPr>
        <w:adjustRightInd w:val="0"/>
        <w:snapToGrid w:val="0"/>
        <w:spacing w:line="578" w:lineRule="exact"/>
        <w:ind w:firstLine="645"/>
        <w:rPr>
          <w:rFonts w:eastAsia="方正仿宋_GBK"/>
          <w:color w:val="000000"/>
          <w:sz w:val="32"/>
          <w:szCs w:val="32"/>
        </w:rPr>
      </w:pPr>
      <w:r>
        <w:rPr>
          <w:rFonts w:eastAsia="方正黑体_GBK"/>
          <w:color w:val="000000"/>
          <w:sz w:val="32"/>
          <w:szCs w:val="32"/>
        </w:rPr>
        <w:t>第十九条</w:t>
      </w:r>
      <w:r>
        <w:rPr>
          <w:rFonts w:eastAsia="方正仿宋_GBK"/>
          <w:color w:val="000000"/>
          <w:sz w:val="32"/>
          <w:szCs w:val="32"/>
        </w:rPr>
        <w:t xml:space="preserve">  </w:t>
      </w:r>
      <w:r>
        <w:rPr>
          <w:rFonts w:eastAsia="方正黑体_GBK"/>
          <w:color w:val="000000"/>
          <w:sz w:val="32"/>
          <w:szCs w:val="32"/>
        </w:rPr>
        <w:t>未尽事项</w:t>
      </w:r>
    </w:p>
    <w:p>
      <w:pPr>
        <w:adjustRightInd w:val="0"/>
        <w:snapToGrid w:val="0"/>
        <w:spacing w:line="578" w:lineRule="exact"/>
        <w:ind w:firstLine="645"/>
        <w:rPr>
          <w:rFonts w:eastAsia="方正仿宋_GBK"/>
          <w:color w:val="000000"/>
          <w:sz w:val="32"/>
          <w:szCs w:val="32"/>
        </w:rPr>
      </w:pPr>
      <w:r>
        <w:rPr>
          <w:rFonts w:eastAsia="方正仿宋_GBK"/>
          <w:color w:val="000000"/>
          <w:sz w:val="32"/>
          <w:szCs w:val="32"/>
        </w:rPr>
        <w:t>本办法未规定事项，按照市科技计划项目、资金、诚信管理有关规定执行。</w:t>
      </w:r>
    </w:p>
    <w:p>
      <w:pPr>
        <w:adjustRightInd w:val="0"/>
        <w:snapToGrid w:val="0"/>
        <w:spacing w:line="578" w:lineRule="exact"/>
        <w:ind w:firstLine="645"/>
        <w:rPr>
          <w:rFonts w:eastAsia="方正仿宋_GBK"/>
          <w:color w:val="000000"/>
          <w:sz w:val="32"/>
          <w:szCs w:val="32"/>
        </w:rPr>
      </w:pPr>
      <w:r>
        <w:rPr>
          <w:rFonts w:eastAsia="方正黑体_GBK"/>
          <w:color w:val="000000"/>
          <w:sz w:val="32"/>
          <w:szCs w:val="32"/>
        </w:rPr>
        <w:t>第二十条</w:t>
      </w:r>
      <w:r>
        <w:rPr>
          <w:rFonts w:eastAsia="方正仿宋_GBK"/>
          <w:color w:val="000000"/>
          <w:sz w:val="32"/>
          <w:szCs w:val="32"/>
        </w:rPr>
        <w:t xml:space="preserve">  </w:t>
      </w:r>
      <w:r>
        <w:rPr>
          <w:rFonts w:eastAsia="方正黑体_GBK"/>
          <w:color w:val="000000"/>
          <w:sz w:val="32"/>
          <w:szCs w:val="32"/>
        </w:rPr>
        <w:t>解释机构</w:t>
      </w:r>
    </w:p>
    <w:p>
      <w:pPr>
        <w:adjustRightInd w:val="0"/>
        <w:snapToGrid w:val="0"/>
        <w:spacing w:line="578" w:lineRule="exact"/>
        <w:ind w:firstLine="645"/>
        <w:rPr>
          <w:rFonts w:eastAsia="方正仿宋_GBK"/>
          <w:color w:val="000000"/>
          <w:sz w:val="32"/>
          <w:szCs w:val="32"/>
        </w:rPr>
      </w:pPr>
      <w:r>
        <w:rPr>
          <w:rFonts w:eastAsia="方正仿宋_GBK"/>
          <w:color w:val="000000"/>
          <w:sz w:val="32"/>
          <w:szCs w:val="32"/>
        </w:rPr>
        <w:t>本办法由市科技局、市财政局负责解释。</w:t>
      </w:r>
    </w:p>
    <w:p>
      <w:pPr>
        <w:adjustRightInd w:val="0"/>
        <w:snapToGrid w:val="0"/>
        <w:spacing w:line="578" w:lineRule="exact"/>
        <w:ind w:firstLine="645"/>
        <w:rPr>
          <w:rFonts w:eastAsia="方正仿宋_GBK"/>
          <w:color w:val="000000"/>
          <w:sz w:val="32"/>
          <w:szCs w:val="32"/>
        </w:rPr>
      </w:pPr>
      <w:r>
        <w:rPr>
          <w:rFonts w:eastAsia="方正黑体_GBK"/>
          <w:color w:val="000000"/>
          <w:sz w:val="32"/>
          <w:szCs w:val="32"/>
        </w:rPr>
        <w:t>第二十一条</w:t>
      </w:r>
      <w:r>
        <w:rPr>
          <w:rFonts w:eastAsia="方正仿宋_GBK"/>
          <w:color w:val="000000"/>
          <w:sz w:val="32"/>
          <w:szCs w:val="32"/>
        </w:rPr>
        <w:t xml:space="preserve"> </w:t>
      </w:r>
      <w:r>
        <w:rPr>
          <w:rFonts w:eastAsia="方正黑体_GBK"/>
          <w:color w:val="000000"/>
          <w:sz w:val="32"/>
          <w:szCs w:val="32"/>
        </w:rPr>
        <w:t xml:space="preserve"> 施行日期</w:t>
      </w:r>
    </w:p>
    <w:p>
      <w:pPr>
        <w:adjustRightInd w:val="0"/>
        <w:snapToGrid w:val="0"/>
        <w:spacing w:line="578" w:lineRule="exact"/>
        <w:ind w:firstLine="645"/>
        <w:rPr>
          <w:rFonts w:eastAsia="方正仿宋_GBK"/>
          <w:color w:val="000000"/>
          <w:sz w:val="32"/>
          <w:szCs w:val="32"/>
        </w:rPr>
      </w:pPr>
      <w:r>
        <w:rPr>
          <w:rFonts w:hint="eastAsia" w:eastAsia="方正仿宋_GBK"/>
          <w:color w:val="000000"/>
          <w:sz w:val="32"/>
          <w:szCs w:val="32"/>
        </w:rPr>
        <w:t>本办法自2022年10月30日起施行</w:t>
      </w:r>
      <w:r>
        <w:rPr>
          <w:rFonts w:eastAsia="方正仿宋_GBK"/>
          <w:color w:val="000000"/>
          <w:sz w:val="32"/>
          <w:szCs w:val="32"/>
        </w:rPr>
        <w:t>，有效期2年。</w:t>
      </w:r>
    </w:p>
    <w:p>
      <w:pPr>
        <w:rPr>
          <w:rFonts w:eastAsia="方正黑体_GBK"/>
          <w:sz w:val="32"/>
          <w:szCs w:val="32"/>
        </w:rPr>
      </w:pPr>
    </w:p>
    <w:p>
      <w:pPr>
        <w:autoSpaceDE w:val="0"/>
        <w:autoSpaceDN w:val="0"/>
        <w:adjustRightInd w:val="0"/>
        <w:spacing w:line="600" w:lineRule="exact"/>
        <w:jc w:val="left"/>
        <w:rPr>
          <w:rFonts w:hint="eastAsia"/>
          <w:color w:val="000000"/>
          <w:kern w:val="0"/>
          <w:sz w:val="24"/>
        </w:rPr>
      </w:pPr>
    </w:p>
    <w:p>
      <w:pPr>
        <w:rPr>
          <w:rFonts w:eastAsia="方正黑体_GBK"/>
          <w:sz w:val="32"/>
          <w:szCs w:val="32"/>
        </w:rPr>
      </w:pPr>
      <w:r>
        <w:rPr>
          <w:rFonts w:eastAsia="方正黑体_GBK"/>
          <w:sz w:val="32"/>
          <w:szCs w:val="32"/>
        </w:rPr>
        <w:br w:type="page"/>
      </w:r>
    </w:p>
    <w:p>
      <w:pPr>
        <w:pStyle w:val="12"/>
        <w:keepNext w:val="0"/>
        <w:keepLines w:val="0"/>
        <w:pageBreakBefore w:val="0"/>
        <w:kinsoku/>
        <w:wordWrap/>
        <w:overflowPunct/>
        <w:topLinePunct w:val="0"/>
        <w:autoSpaceDE/>
        <w:autoSpaceDN/>
        <w:bidi w:val="0"/>
        <w:adjustRightInd w:val="0"/>
        <w:snapToGrid w:val="0"/>
        <w:spacing w:line="578" w:lineRule="exact"/>
        <w:ind w:firstLine="0" w:firstLineChars="0"/>
        <w:jc w:val="left"/>
        <w:textAlignment w:val="auto"/>
        <w:rPr>
          <w:rFonts w:hint="eastAsia" w:eastAsia="方正黑体_GBK"/>
          <w:sz w:val="32"/>
          <w:szCs w:val="32"/>
          <w:lang w:val="en-US" w:eastAsia="zh-CN"/>
        </w:rPr>
      </w:pPr>
      <w:r>
        <w:rPr>
          <w:rFonts w:eastAsia="方正黑体_GBK"/>
          <w:sz w:val="32"/>
          <w:szCs w:val="32"/>
        </w:rPr>
        <w:t>附件</w:t>
      </w:r>
      <w:r>
        <w:rPr>
          <w:rFonts w:hint="eastAsia" w:eastAsia="方正黑体_GBK"/>
          <w:sz w:val="32"/>
          <w:szCs w:val="32"/>
          <w:lang w:val="en-US" w:eastAsia="zh-CN"/>
        </w:rPr>
        <w:t>2</w:t>
      </w:r>
    </w:p>
    <w:p>
      <w:pPr>
        <w:pStyle w:val="12"/>
        <w:keepNext w:val="0"/>
        <w:keepLines w:val="0"/>
        <w:pageBreakBefore w:val="0"/>
        <w:kinsoku/>
        <w:wordWrap/>
        <w:overflowPunct/>
        <w:topLinePunct w:val="0"/>
        <w:autoSpaceDE/>
        <w:autoSpaceDN/>
        <w:bidi w:val="0"/>
        <w:adjustRightInd w:val="0"/>
        <w:snapToGrid w:val="0"/>
        <w:spacing w:line="578" w:lineRule="exact"/>
        <w:ind w:firstLine="0" w:firstLineChars="0"/>
        <w:jc w:val="left"/>
        <w:textAlignment w:val="auto"/>
        <w:rPr>
          <w:rFonts w:hint="eastAsia" w:eastAsia="方正黑体_GBK"/>
          <w:sz w:val="32"/>
          <w:szCs w:val="32"/>
          <w:lang w:val="en-US" w:eastAsia="zh-CN"/>
        </w:rPr>
      </w:pPr>
    </w:p>
    <w:p>
      <w:pPr>
        <w:keepNext w:val="0"/>
        <w:keepLines w:val="0"/>
        <w:pageBreakBefore w:val="0"/>
        <w:widowControl/>
        <w:kinsoku/>
        <w:wordWrap/>
        <w:overflowPunct/>
        <w:topLinePunct w:val="0"/>
        <w:autoSpaceDE/>
        <w:autoSpaceDN/>
        <w:bidi w:val="0"/>
        <w:spacing w:line="578" w:lineRule="exact"/>
        <w:jc w:val="center"/>
        <w:textAlignment w:val="auto"/>
        <w:rPr>
          <w:rFonts w:ascii="Times New Roman" w:hAnsi="Times New Roman" w:eastAsia="仿宋_GB2312" w:cs="Times New Roman"/>
          <w:color w:val="000000"/>
          <w:kern w:val="0"/>
          <w:sz w:val="28"/>
          <w:szCs w:val="28"/>
        </w:rPr>
      </w:pP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揭榜挂帅</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科技项目榜单建议参考提纲</w:t>
      </w:r>
    </w:p>
    <w:p>
      <w:pPr>
        <w:keepNext w:val="0"/>
        <w:keepLines w:val="0"/>
        <w:pageBreakBefore w:val="0"/>
        <w:widowControl/>
        <w:kinsoku/>
        <w:wordWrap/>
        <w:overflowPunct/>
        <w:topLinePunct w:val="0"/>
        <w:autoSpaceDE/>
        <w:autoSpaceDN/>
        <w:bidi w:val="0"/>
        <w:spacing w:line="578" w:lineRule="exact"/>
        <w:jc w:val="center"/>
        <w:textAlignment w:val="auto"/>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eastAsia="zh-CN"/>
        </w:rPr>
        <w:t>（</w:t>
      </w:r>
      <w:r>
        <w:rPr>
          <w:rFonts w:hint="eastAsia" w:ascii="方正楷体_GBK" w:hAnsi="方正楷体_GBK" w:eastAsia="方正楷体_GBK" w:cs="方正楷体_GBK"/>
          <w:color w:val="000000"/>
          <w:kern w:val="0"/>
          <w:sz w:val="32"/>
          <w:szCs w:val="32"/>
          <w:lang w:val="en-US" w:eastAsia="zh-CN"/>
        </w:rPr>
        <w:t>政府出题类）</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黑体"/>
          <w:sz w:val="32"/>
          <w:szCs w:val="32"/>
        </w:rPr>
      </w:pPr>
      <w:r>
        <w:rPr>
          <w:rFonts w:eastAsia="黑体"/>
          <w:sz w:val="32"/>
          <w:szCs w:val="32"/>
        </w:rPr>
        <w:t>榜单名称：</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黑体"/>
          <w:sz w:val="32"/>
          <w:szCs w:val="32"/>
        </w:rPr>
      </w:pPr>
      <w:r>
        <w:rPr>
          <w:rFonts w:eastAsia="黑体"/>
          <w:sz w:val="32"/>
          <w:szCs w:val="32"/>
        </w:rPr>
        <w:t>榜单建议单位：（盖章）</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黑体_GBK"/>
          <w:sz w:val="32"/>
          <w:szCs w:val="32"/>
        </w:rPr>
      </w:pPr>
      <w:r>
        <w:rPr>
          <w:rFonts w:eastAsia="方正黑体_GBK"/>
          <w:sz w:val="32"/>
          <w:szCs w:val="32"/>
        </w:rPr>
        <w:t>一、项目实施必要性</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仿宋_GBK"/>
          <w:sz w:val="32"/>
          <w:szCs w:val="32"/>
        </w:rPr>
      </w:pPr>
      <w:r>
        <w:rPr>
          <w:rFonts w:eastAsia="方正仿宋_GBK"/>
          <w:sz w:val="32"/>
          <w:szCs w:val="32"/>
        </w:rPr>
        <w:t>含背景情况、国内外现有技术情况、急需解决的技术问题等</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黑体_GBK"/>
          <w:sz w:val="32"/>
          <w:szCs w:val="32"/>
        </w:rPr>
      </w:pPr>
      <w:r>
        <w:rPr>
          <w:rFonts w:eastAsia="方正黑体_GBK"/>
          <w:sz w:val="32"/>
          <w:szCs w:val="32"/>
        </w:rPr>
        <w:t>二、需求目标</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仿宋_GBK"/>
          <w:sz w:val="32"/>
          <w:szCs w:val="32"/>
        </w:rPr>
      </w:pPr>
      <w:r>
        <w:rPr>
          <w:rFonts w:eastAsia="方正仿宋_GBK"/>
          <w:sz w:val="32"/>
          <w:szCs w:val="32"/>
        </w:rPr>
        <w:t>需求目标应聚焦出题任务方向、提出具体任务要求，包括拟解决的关键核心技术和现实问题</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黑体_GBK"/>
          <w:sz w:val="32"/>
          <w:szCs w:val="32"/>
        </w:rPr>
      </w:pPr>
      <w:r>
        <w:rPr>
          <w:rFonts w:eastAsia="方正黑体_GBK"/>
          <w:sz w:val="32"/>
          <w:szCs w:val="32"/>
        </w:rPr>
        <w:t>三、具体应用场景</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黑体_GBK"/>
          <w:sz w:val="32"/>
          <w:szCs w:val="32"/>
        </w:rPr>
      </w:pPr>
      <w:r>
        <w:rPr>
          <w:rFonts w:eastAsia="方正黑体_GBK"/>
          <w:sz w:val="32"/>
          <w:szCs w:val="32"/>
        </w:rPr>
        <w:t>四、预期成果最终用户</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黑体_GBK"/>
          <w:sz w:val="32"/>
          <w:szCs w:val="32"/>
        </w:rPr>
      </w:pPr>
      <w:r>
        <w:rPr>
          <w:rFonts w:eastAsia="方正黑体_GBK"/>
          <w:sz w:val="32"/>
          <w:szCs w:val="32"/>
        </w:rPr>
        <w:t>五、考核指标</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仿宋_GBK"/>
          <w:sz w:val="32"/>
          <w:szCs w:val="32"/>
        </w:rPr>
      </w:pPr>
      <w:r>
        <w:rPr>
          <w:rFonts w:eastAsia="方正仿宋_GBK"/>
          <w:sz w:val="32"/>
          <w:szCs w:val="32"/>
        </w:rPr>
        <w:t>指标应量化可考核且能全面支撑需求目标的实现</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黑体_GBK"/>
          <w:sz w:val="32"/>
          <w:szCs w:val="32"/>
        </w:rPr>
      </w:pPr>
      <w:r>
        <w:rPr>
          <w:rFonts w:eastAsia="方正黑体_GBK"/>
          <w:sz w:val="32"/>
          <w:szCs w:val="32"/>
        </w:rPr>
        <w:t>六、实施期限</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仿宋_GBK"/>
          <w:sz w:val="32"/>
          <w:szCs w:val="32"/>
        </w:rPr>
      </w:pPr>
      <w:r>
        <w:rPr>
          <w:rFonts w:eastAsia="方正仿宋_GBK"/>
          <w:sz w:val="32"/>
          <w:szCs w:val="32"/>
        </w:rPr>
        <w:t>实施期限应不超过2年</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黑体_GBK"/>
          <w:sz w:val="32"/>
          <w:szCs w:val="32"/>
        </w:rPr>
      </w:pPr>
      <w:r>
        <w:rPr>
          <w:rFonts w:eastAsia="方正黑体_GBK"/>
          <w:sz w:val="32"/>
          <w:szCs w:val="32"/>
        </w:rPr>
        <w:t>七、榜单金额</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仿宋_GBK"/>
          <w:sz w:val="32"/>
          <w:szCs w:val="32"/>
        </w:rPr>
      </w:pPr>
      <w:r>
        <w:rPr>
          <w:rFonts w:eastAsia="方正仿宋_GBK"/>
          <w:sz w:val="32"/>
          <w:szCs w:val="32"/>
        </w:rPr>
        <w:t>不超过1000万元</w:t>
      </w:r>
    </w:p>
    <w:p>
      <w:pPr>
        <w:keepNext w:val="0"/>
        <w:keepLines w:val="0"/>
        <w:pageBreakBefore w:val="0"/>
        <w:kinsoku/>
        <w:wordWrap/>
        <w:overflowPunct/>
        <w:topLinePunct w:val="0"/>
        <w:autoSpaceDE/>
        <w:autoSpaceDN/>
        <w:bidi w:val="0"/>
        <w:spacing w:line="578"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br w:type="page"/>
      </w:r>
    </w:p>
    <w:p>
      <w:pPr>
        <w:keepNext w:val="0"/>
        <w:keepLines w:val="0"/>
        <w:pageBreakBefore w:val="0"/>
        <w:widowControl/>
        <w:kinsoku/>
        <w:wordWrap/>
        <w:overflowPunct/>
        <w:topLinePunct w:val="0"/>
        <w:autoSpaceDE/>
        <w:autoSpaceDN/>
        <w:bidi w:val="0"/>
        <w:spacing w:line="578"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kinsoku/>
        <w:wordWrap/>
        <w:overflowPunct/>
        <w:topLinePunct w:val="0"/>
        <w:autoSpaceDE/>
        <w:autoSpaceDN/>
        <w:bidi w:val="0"/>
        <w:spacing w:line="578" w:lineRule="exact"/>
        <w:jc w:val="center"/>
        <w:textAlignment w:val="auto"/>
        <w:rPr>
          <w:rFonts w:hint="eastAsia" w:ascii="Times New Roman" w:hAnsi="Times New Roman" w:eastAsia="方正小标宋简体" w:cs="Times New Roman"/>
          <w:sz w:val="44"/>
          <w:szCs w:val="44"/>
          <w:lang w:eastAsia="zh-CN"/>
        </w:rPr>
      </w:pPr>
    </w:p>
    <w:p>
      <w:pPr>
        <w:keepNext w:val="0"/>
        <w:keepLines w:val="0"/>
        <w:pageBreakBefore w:val="0"/>
        <w:kinsoku/>
        <w:wordWrap/>
        <w:overflowPunct/>
        <w:topLinePunct w:val="0"/>
        <w:autoSpaceDE/>
        <w:autoSpaceDN/>
        <w:bidi w:val="0"/>
        <w:spacing w:line="578" w:lineRule="exact"/>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揭榜挂帅</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科技项目榜单建议参考提纲</w:t>
      </w:r>
    </w:p>
    <w:p>
      <w:pPr>
        <w:keepNext w:val="0"/>
        <w:keepLines w:val="0"/>
        <w:pageBreakBefore w:val="0"/>
        <w:widowControl/>
        <w:kinsoku/>
        <w:wordWrap/>
        <w:overflowPunct/>
        <w:topLinePunct w:val="0"/>
        <w:autoSpaceDE/>
        <w:autoSpaceDN/>
        <w:bidi w:val="0"/>
        <w:spacing w:line="578" w:lineRule="exact"/>
        <w:jc w:val="center"/>
        <w:textAlignment w:val="auto"/>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（企业出题类）</w:t>
      </w:r>
    </w:p>
    <w:p>
      <w:pPr>
        <w:keepNext w:val="0"/>
        <w:keepLines w:val="0"/>
        <w:pageBreakBefore w:val="0"/>
        <w:widowControl/>
        <w:kinsoku/>
        <w:wordWrap/>
        <w:overflowPunct/>
        <w:topLinePunct w:val="0"/>
        <w:autoSpaceDE/>
        <w:autoSpaceDN/>
        <w:bidi w:val="0"/>
        <w:spacing w:line="578" w:lineRule="exact"/>
        <w:jc w:val="center"/>
        <w:textAlignment w:val="auto"/>
        <w:rPr>
          <w:rFonts w:hint="eastAsia" w:ascii="方正楷体_GBK" w:hAnsi="方正楷体_GBK" w:eastAsia="方正楷体_GBK" w:cs="方正楷体_GBK"/>
          <w:color w:val="000000"/>
          <w:kern w:val="0"/>
          <w:sz w:val="32"/>
          <w:szCs w:val="32"/>
          <w:lang w:val="en-US" w:eastAsia="zh-CN"/>
        </w:rPr>
      </w:pP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拟开展的重大科技项目名称：</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承担单位：（盖章）</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hint="eastAsia" w:eastAsia="方正黑体_GBK"/>
          <w:sz w:val="32"/>
          <w:szCs w:val="32"/>
          <w:lang w:val="en-US" w:eastAsia="zh-CN"/>
        </w:rPr>
      </w:pPr>
      <w:r>
        <w:rPr>
          <w:rFonts w:hint="eastAsia" w:eastAsia="方正黑体_GBK"/>
          <w:sz w:val="32"/>
          <w:szCs w:val="32"/>
          <w:lang w:val="en-US" w:eastAsia="zh-CN"/>
        </w:rPr>
        <w:t>一、项目概述</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hint="eastAsia" w:eastAsia="方正黑体_GBK"/>
          <w:sz w:val="32"/>
          <w:szCs w:val="32"/>
          <w:lang w:val="en-US" w:eastAsia="zh-CN"/>
        </w:rPr>
      </w:pPr>
      <w:r>
        <w:rPr>
          <w:rFonts w:hint="eastAsia" w:eastAsia="方正黑体_GBK"/>
          <w:sz w:val="32"/>
          <w:szCs w:val="32"/>
          <w:lang w:val="en-US" w:eastAsia="zh-CN"/>
        </w:rPr>
        <w:t>二、项目实施必要性</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eastAsia="方正仿宋_GBK"/>
          <w:sz w:val="32"/>
          <w:szCs w:val="32"/>
        </w:rPr>
      </w:pPr>
      <w:r>
        <w:rPr>
          <w:rFonts w:eastAsia="方正仿宋_GBK"/>
          <w:sz w:val="32"/>
          <w:szCs w:val="32"/>
        </w:rPr>
        <w:t>含</w:t>
      </w:r>
      <w:r>
        <w:rPr>
          <w:rFonts w:hint="eastAsia" w:eastAsia="方正仿宋_GBK"/>
          <w:sz w:val="32"/>
          <w:szCs w:val="32"/>
          <w:lang w:val="en-US" w:eastAsia="zh-CN"/>
        </w:rPr>
        <w:t>市场前景</w:t>
      </w:r>
      <w:r>
        <w:rPr>
          <w:rFonts w:eastAsia="方正仿宋_GBK"/>
          <w:sz w:val="32"/>
          <w:szCs w:val="32"/>
        </w:rPr>
        <w:t>、国内外现有技术情况、</w:t>
      </w:r>
      <w:r>
        <w:rPr>
          <w:rFonts w:hint="eastAsia" w:eastAsia="方正仿宋_GBK"/>
          <w:sz w:val="32"/>
          <w:szCs w:val="32"/>
          <w:lang w:val="en-US" w:eastAsia="zh-CN"/>
        </w:rPr>
        <w:t>拟</w:t>
      </w:r>
      <w:r>
        <w:rPr>
          <w:rFonts w:eastAsia="方正仿宋_GBK"/>
          <w:sz w:val="32"/>
          <w:szCs w:val="32"/>
        </w:rPr>
        <w:t>解决的技术问题</w:t>
      </w:r>
      <w:r>
        <w:rPr>
          <w:rFonts w:hint="eastAsia" w:eastAsia="方正仿宋_GBK"/>
          <w:sz w:val="32"/>
          <w:szCs w:val="32"/>
          <w:lang w:eastAsia="zh-CN"/>
        </w:rPr>
        <w:t>、</w:t>
      </w:r>
      <w:r>
        <w:rPr>
          <w:rFonts w:hint="eastAsia" w:eastAsia="方正仿宋_GBK"/>
          <w:sz w:val="32"/>
          <w:szCs w:val="32"/>
          <w:lang w:val="en-US" w:eastAsia="zh-CN"/>
        </w:rPr>
        <w:t>预期成果及效益</w:t>
      </w:r>
      <w:r>
        <w:rPr>
          <w:rFonts w:eastAsia="方正仿宋_GBK"/>
          <w:sz w:val="32"/>
          <w:szCs w:val="32"/>
        </w:rPr>
        <w:t>等</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hint="default" w:eastAsia="方正黑体_GBK"/>
          <w:sz w:val="32"/>
          <w:szCs w:val="32"/>
          <w:lang w:val="en-US" w:eastAsia="zh-CN"/>
        </w:rPr>
      </w:pPr>
      <w:r>
        <w:rPr>
          <w:rFonts w:hint="eastAsia" w:eastAsia="方正黑体_GBK"/>
          <w:sz w:val="32"/>
          <w:szCs w:val="32"/>
          <w:lang w:val="en-US" w:eastAsia="zh-CN"/>
        </w:rPr>
        <w:t>三、技术路线及方案</w:t>
      </w:r>
    </w:p>
    <w:p>
      <w:pPr>
        <w:pStyle w:val="12"/>
        <w:keepNext w:val="0"/>
        <w:keepLines w:val="0"/>
        <w:pageBreakBefore w:val="0"/>
        <w:kinsoku/>
        <w:wordWrap/>
        <w:overflowPunct/>
        <w:topLinePunct w:val="0"/>
        <w:autoSpaceDE/>
        <w:autoSpaceDN/>
        <w:bidi w:val="0"/>
        <w:adjustRightInd w:val="0"/>
        <w:snapToGrid w:val="0"/>
        <w:spacing w:line="578" w:lineRule="exact"/>
        <w:ind w:firstLine="640"/>
        <w:textAlignment w:val="auto"/>
        <w:rPr>
          <w:rFonts w:hint="eastAsia" w:eastAsia="方正黑体_GBK"/>
          <w:sz w:val="32"/>
          <w:szCs w:val="32"/>
          <w:lang w:val="en-US" w:eastAsia="zh-CN"/>
        </w:rPr>
      </w:pPr>
      <w:r>
        <w:rPr>
          <w:rFonts w:hint="eastAsia" w:eastAsia="方正黑体_GBK"/>
          <w:sz w:val="32"/>
          <w:szCs w:val="32"/>
          <w:lang w:val="en-US" w:eastAsia="zh-CN"/>
        </w:rPr>
        <w:t>四、需要委外研发的“揭榜挂帅”科技项目榜单</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（一）榜单名称</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需求目标</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需求目标应聚焦出题任务方向、提出具体任务要求，包括拟解决的关键核心技术和现实问题</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（三）考核指标</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指标应量化可考核且能全面支撑需求目标的实现</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（四）实施期限：</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实施期限应不超过2年</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（五）榜单金额：</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不超过1000万元</w:t>
      </w:r>
    </w:p>
    <w:p>
      <w:pPr>
        <w:keepNext w:val="0"/>
        <w:keepLines w:val="0"/>
        <w:pageBreakBefore w:val="0"/>
        <w:widowControl/>
        <w:kinsoku/>
        <w:wordWrap/>
        <w:overflowPunct/>
        <w:topLinePunct w:val="0"/>
        <w:autoSpaceDE/>
        <w:autoSpaceDN/>
        <w:bidi w:val="0"/>
        <w:spacing w:line="578" w:lineRule="exact"/>
        <w:jc w:val="center"/>
        <w:textAlignment w:val="auto"/>
        <w:rPr>
          <w:rFonts w:hint="eastAsia" w:ascii="Times New Roman" w:hAnsi="Times New Roman" w:eastAsia="方正小标宋简体" w:cs="Times New Roman"/>
          <w:sz w:val="44"/>
          <w:szCs w:val="44"/>
          <w:lang w:val="en-US" w:eastAsia="zh-CN"/>
        </w:rPr>
      </w:pPr>
    </w:p>
    <w:p>
      <w:pP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br w:type="page"/>
      </w:r>
    </w:p>
    <w:p>
      <w:pPr>
        <w:keepNext w:val="0"/>
        <w:keepLines w:val="0"/>
        <w:pageBreakBefore w:val="0"/>
        <w:widowControl/>
        <w:kinsoku/>
        <w:wordWrap/>
        <w:overflowPunct/>
        <w:topLinePunct w:val="0"/>
        <w:autoSpaceDE/>
        <w:autoSpaceDN/>
        <w:bidi w:val="0"/>
        <w:spacing w:line="578"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kinsoku/>
        <w:wordWrap/>
        <w:overflowPunct/>
        <w:topLinePunct w:val="0"/>
        <w:autoSpaceDE/>
        <w:autoSpaceDN/>
        <w:bidi w:val="0"/>
        <w:spacing w:line="578" w:lineRule="exact"/>
        <w:jc w:val="left"/>
        <w:textAlignment w:val="auto"/>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spacing w:line="578"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“揭榜挂帅”科技项目榜单专家论证意见</w:t>
      </w:r>
    </w:p>
    <w:p>
      <w:pPr>
        <w:keepNext w:val="0"/>
        <w:keepLines w:val="0"/>
        <w:pageBreakBefore w:val="0"/>
        <w:kinsoku/>
        <w:wordWrap/>
        <w:overflowPunct/>
        <w:topLinePunct w:val="0"/>
        <w:autoSpaceDE/>
        <w:autoSpaceDN/>
        <w:bidi w:val="0"/>
        <w:spacing w:line="578" w:lineRule="exact"/>
        <w:jc w:val="center"/>
        <w:textAlignment w:val="auto"/>
        <w:rPr>
          <w:rFonts w:ascii="Times New Roman" w:hAnsi="Times New Roman" w:eastAsia="方正小标宋简体" w:cs="Times New Roman"/>
          <w:color w:val="000000"/>
          <w:sz w:val="44"/>
          <w:szCs w:val="44"/>
        </w:rPr>
      </w:pP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按照《成都市科技计划项目管理办法》（成科字〔2021〕6号）以及</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成都市“揭榜挂帅”科技项目实施和管理办法（试行）</w:t>
      </w:r>
      <w:r>
        <w:rPr>
          <w:rFonts w:hint="eastAsia" w:ascii="Times New Roman" w:hAnsi="Times New Roman" w:eastAsia="方正仿宋_GBK" w:cs="Times New Roman"/>
          <w:sz w:val="32"/>
          <w:szCs w:val="32"/>
        </w:rPr>
        <w:t>》（成科字〔2022〕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4号）</w:t>
      </w:r>
      <w:r>
        <w:rPr>
          <w:rFonts w:ascii="Times New Roman" w:hAnsi="Times New Roman" w:eastAsia="方正仿宋_GBK" w:cs="Times New Roman"/>
          <w:sz w:val="32"/>
        </w:rPr>
        <w:t>要求</w:t>
      </w:r>
      <w:r>
        <w:rPr>
          <w:rFonts w:hint="eastAsia" w:ascii="Times New Roman" w:hAnsi="Times New Roman" w:eastAsia="方正仿宋_GBK" w:cs="Times New Roman"/>
          <w:sz w:val="32"/>
        </w:rPr>
        <w:t>，</w:t>
      </w:r>
      <w:r>
        <w:rPr>
          <w:rFonts w:hint="eastAsia" w:ascii="Times New Roman" w:hAnsi="Times New Roman" w:eastAsia="方正仿宋_GBK" w:cs="Times New Roman"/>
          <w:sz w:val="32"/>
          <w:szCs w:val="32"/>
          <w:highlight w:val="none"/>
          <w:lang w:val="en-US" w:eastAsia="zh-CN"/>
        </w:rPr>
        <w:t>X</w:t>
      </w:r>
      <w:r>
        <w:rPr>
          <w:rFonts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X</w:t>
      </w:r>
      <w:r>
        <w:rPr>
          <w:rFonts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X</w:t>
      </w:r>
      <w:r>
        <w:rPr>
          <w:rFonts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highlight w:val="none"/>
          <w:lang w:val="en-US" w:eastAsia="zh-CN"/>
        </w:rPr>
        <w:t>X单位（需求单位或推荐单位）</w:t>
      </w:r>
      <w:r>
        <w:rPr>
          <w:rFonts w:hint="eastAsia" w:eastAsia="方正仿宋_GBK"/>
          <w:color w:val="000000"/>
          <w:sz w:val="32"/>
          <w:szCs w:val="32"/>
          <w:lang w:eastAsia="zh-CN"/>
        </w:rPr>
        <w:t>组织</w:t>
      </w:r>
      <w:r>
        <w:rPr>
          <w:rFonts w:hint="eastAsia" w:ascii="Times New Roman" w:hAnsi="Times New Roman" w:eastAsia="方正仿宋_GBK" w:cs="Times New Roman"/>
          <w:sz w:val="32"/>
          <w:szCs w:val="32"/>
        </w:rPr>
        <w:t>行业管理专家、技术专家、预期用户单位等对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X项目</w:t>
      </w:r>
      <w:r>
        <w:rPr>
          <w:rFonts w:hint="eastAsia" w:ascii="Times New Roman" w:hAnsi="Times New Roman" w:eastAsia="方正仿宋_GBK" w:cs="Times New Roman"/>
          <w:sz w:val="32"/>
          <w:szCs w:val="32"/>
          <w:lang w:eastAsia="zh-CN"/>
        </w:rPr>
        <w:t>”榜单建议</w:t>
      </w:r>
      <w:r>
        <w:rPr>
          <w:rFonts w:ascii="Times New Roman" w:hAnsi="Times New Roman" w:eastAsia="方正仿宋_GBK" w:cs="Times New Roman"/>
          <w:sz w:val="32"/>
          <w:szCs w:val="32"/>
        </w:rPr>
        <w:t>进行了论证。</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专家组一致认为，</w:t>
      </w:r>
      <w:r>
        <w:rPr>
          <w:rFonts w:hint="eastAsia" w:ascii="Times New Roman" w:hAnsi="Times New Roman" w:eastAsia="方正仿宋_GBK" w:cs="Times New Roman"/>
          <w:sz w:val="32"/>
          <w:szCs w:val="32"/>
          <w:lang w:val="en-US" w:eastAsia="zh-CN"/>
        </w:rPr>
        <w:t>该需求</w:t>
      </w:r>
      <w:r>
        <w:rPr>
          <w:rFonts w:hint="eastAsia" w:ascii="Times New Roman" w:hAnsi="Times New Roman" w:eastAsia="方正仿宋_GBK" w:cs="Times New Roman"/>
          <w:sz w:val="32"/>
          <w:szCs w:val="32"/>
        </w:rPr>
        <w:t>支持领域和方向选择合理，需求目标、考核指标、实施期限</w:t>
      </w:r>
      <w:r>
        <w:rPr>
          <w:rFonts w:hint="eastAsia" w:ascii="Times New Roman" w:hAnsi="Times New Roman" w:eastAsia="方正仿宋_GBK" w:cs="Times New Roman"/>
          <w:sz w:val="32"/>
          <w:szCs w:val="32"/>
          <w:lang w:eastAsia="zh-CN"/>
        </w:rPr>
        <w:t>及榜单金额</w:t>
      </w:r>
      <w:r>
        <w:rPr>
          <w:rFonts w:hint="eastAsia" w:ascii="Times New Roman" w:hAnsi="Times New Roman" w:eastAsia="方正仿宋_GBK" w:cs="Times New Roman"/>
          <w:sz w:val="32"/>
          <w:szCs w:val="32"/>
        </w:rPr>
        <w:t>基本可行。</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经过专家组讨论论证，提出如下修改意见</w:t>
      </w:r>
      <w:r>
        <w:rPr>
          <w:rFonts w:hint="eastAsia" w:ascii="Times New Roman" w:hAnsi="Times New Roman" w:eastAsia="方正仿宋_GBK" w:cs="Times New Roman"/>
          <w:sz w:val="32"/>
          <w:szCs w:val="32"/>
          <w:lang w:eastAsia="zh-CN"/>
        </w:rPr>
        <w:t>（如有）</w:t>
      </w:r>
      <w:r>
        <w:rPr>
          <w:rFonts w:hint="eastAsia"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建议向市科技局推荐</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建议按照专家意见修改完善后向市科技局推荐。</w:t>
      </w:r>
    </w:p>
    <w:p>
      <w:pPr>
        <w:keepNext w:val="0"/>
        <w:keepLines w:val="0"/>
        <w:pageBreakBefore w:val="0"/>
        <w:kinsoku/>
        <w:wordWrap/>
        <w:overflowPunct/>
        <w:topLinePunct w:val="0"/>
        <w:autoSpaceDE/>
        <w:autoSpaceDN/>
        <w:bidi w:val="0"/>
        <w:spacing w:line="578" w:lineRule="exact"/>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78" w:lineRule="exact"/>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专家签字：</w:t>
      </w:r>
    </w:p>
    <w:p>
      <w:pPr>
        <w:keepNext w:val="0"/>
        <w:keepLines w:val="0"/>
        <w:pageBreakBefore w:val="0"/>
        <w:widowControl/>
        <w:kinsoku/>
        <w:wordWrap/>
        <w:overflowPunct/>
        <w:topLinePunct w:val="0"/>
        <w:autoSpaceDE/>
        <w:autoSpaceDN/>
        <w:bidi w:val="0"/>
        <w:spacing w:line="578" w:lineRule="exact"/>
        <w:jc w:val="left"/>
        <w:textAlignment w:val="auto"/>
        <w:rPr>
          <w:rFonts w:ascii="方正黑体_GBK" w:hAnsi="Times New Roman" w:eastAsia="方正黑体_GBK" w:cs="Times New Roman"/>
          <w:sz w:val="32"/>
          <w:szCs w:val="32"/>
        </w:rPr>
      </w:pPr>
    </w:p>
    <w:p>
      <w:pPr>
        <w:keepNext w:val="0"/>
        <w:keepLines w:val="0"/>
        <w:pageBreakBefore w:val="0"/>
        <w:kinsoku/>
        <w:wordWrap/>
        <w:overflowPunct/>
        <w:topLinePunct w:val="0"/>
        <w:autoSpaceDE/>
        <w:autoSpaceDN/>
        <w:bidi w:val="0"/>
        <w:spacing w:line="578" w:lineRule="exact"/>
        <w:textAlignment w:val="auto"/>
        <w:rPr>
          <w:rFonts w:hint="eastAsia" w:ascii="Times New Roman" w:hAnsi="Times New Roman" w:eastAsia="方正仿宋_GBK" w:cs="Times New Roman"/>
          <w:sz w:val="32"/>
          <w:szCs w:val="32"/>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5"/>
      </w:pPr>
      <w:r>
        <w:rPr>
          <w:rStyle w:val="10"/>
        </w:rPr>
        <w:footnoteRef/>
      </w:r>
      <w:r>
        <w:t xml:space="preserve"> </w:t>
      </w:r>
      <w:r>
        <w:rPr>
          <w:rFonts w:hint="eastAsia" w:eastAsia="方正仿宋_GBK"/>
          <w:color w:val="000000"/>
        </w:rPr>
        <w:t>指项目预期成果的最终使用者，</w:t>
      </w:r>
      <w:r>
        <w:rPr>
          <w:rFonts w:eastAsia="方正仿宋_GBK"/>
          <w:color w:val="000000"/>
        </w:rPr>
        <w:t>承接项目</w:t>
      </w:r>
      <w:r>
        <w:rPr>
          <w:rFonts w:hint="eastAsia" w:eastAsia="方正仿宋_GBK"/>
          <w:color w:val="000000"/>
        </w:rPr>
        <w:t>攻关</w:t>
      </w:r>
      <w:r>
        <w:rPr>
          <w:rFonts w:eastAsia="方正仿宋_GBK"/>
          <w:color w:val="000000"/>
        </w:rPr>
        <w:t>科技成果在蓉落地应用</w:t>
      </w:r>
      <w:r>
        <w:rPr>
          <w:rFonts w:hint="eastAsia" w:eastAsia="方正仿宋_GBK"/>
          <w:color w:val="000000"/>
        </w:rPr>
        <w:t>或产业化</w:t>
      </w:r>
      <w:r>
        <w:rPr>
          <w:rFonts w:eastAsia="方正仿宋_GBK"/>
          <w:color w:val="000000"/>
        </w:rPr>
        <w:t>，并参与项目考核验收</w:t>
      </w:r>
      <w:r>
        <w:rPr>
          <w:rFonts w:hint="eastAsia" w:eastAsia="方正仿宋_GBK"/>
          <w:color w:val="000000"/>
        </w:rPr>
        <w:t>。</w:t>
      </w:r>
    </w:p>
  </w:footnote>
  <w:footnote w:id="1">
    <w:p>
      <w:pPr>
        <w:widowControl/>
        <w:adjustRightInd w:val="0"/>
        <w:snapToGrid w:val="0"/>
        <w:spacing w:line="240" w:lineRule="exact"/>
        <w:ind w:firstLine="360" w:firstLineChars="200"/>
        <w:rPr>
          <w:rFonts w:eastAsia="方正仿宋_GBK"/>
          <w:color w:val="000000"/>
          <w:sz w:val="18"/>
          <w:szCs w:val="18"/>
        </w:rPr>
      </w:pPr>
      <w:r>
        <w:rPr>
          <w:rStyle w:val="10"/>
          <w:sz w:val="18"/>
          <w:szCs w:val="18"/>
        </w:rPr>
        <w:footnoteRef/>
      </w:r>
      <w:r>
        <w:rPr>
          <w:rFonts w:hint="eastAsia" w:eastAsia="方正仿宋_GBK"/>
          <w:color w:val="000000"/>
          <w:sz w:val="18"/>
          <w:szCs w:val="18"/>
        </w:rPr>
        <w:t xml:space="preserve"> 推荐单位按《成都市科技计划项目管理办法》（成科字〔2021〕6号）第十二条“项目推荐单位”执行。</w:t>
      </w:r>
    </w:p>
    <w:p>
      <w:pPr>
        <w:widowControl/>
        <w:adjustRightInd w:val="0"/>
        <w:snapToGrid w:val="0"/>
        <w:spacing w:line="240" w:lineRule="exact"/>
        <w:ind w:firstLine="360" w:firstLineChars="200"/>
        <w:rPr>
          <w:rFonts w:eastAsia="方正仿宋_GBK"/>
          <w:color w:val="000000"/>
          <w:sz w:val="18"/>
          <w:szCs w:val="18"/>
        </w:rPr>
      </w:pPr>
    </w:p>
  </w:footnote>
  <w:footnote w:id="2">
    <w:p>
      <w:pPr>
        <w:widowControl/>
        <w:adjustRightInd w:val="0"/>
        <w:snapToGrid w:val="0"/>
        <w:spacing w:line="240" w:lineRule="exact"/>
        <w:ind w:firstLine="360" w:firstLineChars="200"/>
        <w:rPr>
          <w:rFonts w:eastAsia="方正仿宋_GBK"/>
          <w:color w:val="000000"/>
          <w:sz w:val="18"/>
          <w:szCs w:val="18"/>
        </w:rPr>
      </w:pPr>
      <w:r>
        <w:rPr>
          <w:rStyle w:val="10"/>
          <w:sz w:val="18"/>
          <w:szCs w:val="18"/>
        </w:rPr>
        <w:footnoteRef/>
      </w:r>
      <w:r>
        <w:rPr>
          <w:rFonts w:hint="eastAsia" w:eastAsia="方正仿宋_GBK"/>
          <w:color w:val="000000"/>
          <w:sz w:val="18"/>
          <w:szCs w:val="18"/>
        </w:rPr>
        <w:t xml:space="preserve"> 详见本办法第十四条。</w:t>
      </w:r>
    </w:p>
    <w:p>
      <w:pPr>
        <w:widowControl/>
        <w:adjustRightInd w:val="0"/>
        <w:snapToGrid w:val="0"/>
        <w:spacing w:line="240" w:lineRule="exact"/>
        <w:ind w:firstLine="360" w:firstLineChars="200"/>
        <w:rPr>
          <w:rFonts w:eastAsia="方正仿宋_GBK"/>
          <w:color w:val="000000"/>
          <w:sz w:val="18"/>
          <w:szCs w:val="18"/>
        </w:rPr>
      </w:pPr>
    </w:p>
  </w:footnote>
  <w:footnote w:id="3">
    <w:p>
      <w:pPr>
        <w:widowControl/>
        <w:adjustRightInd w:val="0"/>
        <w:snapToGrid w:val="0"/>
        <w:spacing w:line="240" w:lineRule="exact"/>
        <w:ind w:firstLine="360" w:firstLineChars="200"/>
        <w:rPr>
          <w:rFonts w:eastAsia="方正仿宋_GBK"/>
          <w:color w:val="000000"/>
          <w:sz w:val="18"/>
          <w:szCs w:val="18"/>
        </w:rPr>
      </w:pPr>
      <w:r>
        <w:rPr>
          <w:rStyle w:val="10"/>
          <w:sz w:val="18"/>
          <w:szCs w:val="18"/>
        </w:rPr>
        <w:footnoteRef/>
      </w:r>
      <w:r>
        <w:rPr>
          <w:rFonts w:hint="eastAsia" w:eastAsia="方正仿宋_GBK"/>
          <w:color w:val="000000"/>
          <w:sz w:val="18"/>
          <w:szCs w:val="18"/>
        </w:rPr>
        <w:t xml:space="preserve"> 受市科技局委托，承担项目管理和服务职责的第三方科技服务机构。</w:t>
      </w:r>
    </w:p>
    <w:p>
      <w:pPr>
        <w:widowControl/>
        <w:adjustRightInd w:val="0"/>
        <w:snapToGrid w:val="0"/>
        <w:spacing w:line="240" w:lineRule="exact"/>
        <w:ind w:firstLine="360" w:firstLineChars="200"/>
        <w:rPr>
          <w:rFonts w:eastAsia="方正仿宋_GBK"/>
          <w:color w:val="000000"/>
          <w:sz w:val="18"/>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YjRiZGU2MTg2OGMyMDdlYmYxNWEwNjYxMTkxNzcifQ=="/>
  </w:docVars>
  <w:rsids>
    <w:rsidRoot w:val="5E4B55EF"/>
    <w:rsid w:val="00BA414E"/>
    <w:rsid w:val="00FF13F6"/>
    <w:rsid w:val="04A465CA"/>
    <w:rsid w:val="09C70918"/>
    <w:rsid w:val="121111CE"/>
    <w:rsid w:val="137A7C32"/>
    <w:rsid w:val="1507190E"/>
    <w:rsid w:val="15DC6E65"/>
    <w:rsid w:val="20C92BD0"/>
    <w:rsid w:val="23B40C3B"/>
    <w:rsid w:val="258E1E3A"/>
    <w:rsid w:val="25E5683B"/>
    <w:rsid w:val="2B3F0CE2"/>
    <w:rsid w:val="2E547F82"/>
    <w:rsid w:val="33CB74FA"/>
    <w:rsid w:val="35797645"/>
    <w:rsid w:val="36927228"/>
    <w:rsid w:val="388114A1"/>
    <w:rsid w:val="3B2B62A3"/>
    <w:rsid w:val="3C625084"/>
    <w:rsid w:val="3CFF860A"/>
    <w:rsid w:val="3F401EB9"/>
    <w:rsid w:val="3F580E27"/>
    <w:rsid w:val="3FDE225D"/>
    <w:rsid w:val="41B660C0"/>
    <w:rsid w:val="420B38E3"/>
    <w:rsid w:val="42F4117F"/>
    <w:rsid w:val="470B3FA6"/>
    <w:rsid w:val="485813F4"/>
    <w:rsid w:val="4A100CF6"/>
    <w:rsid w:val="4F3B1580"/>
    <w:rsid w:val="4F9D0841"/>
    <w:rsid w:val="50067556"/>
    <w:rsid w:val="54EBEFFF"/>
    <w:rsid w:val="56C53B12"/>
    <w:rsid w:val="5E4B55EF"/>
    <w:rsid w:val="5E60203B"/>
    <w:rsid w:val="613772C2"/>
    <w:rsid w:val="67F14CC5"/>
    <w:rsid w:val="684C2E13"/>
    <w:rsid w:val="6FFCE2CB"/>
    <w:rsid w:val="6FFF5C05"/>
    <w:rsid w:val="71443E13"/>
    <w:rsid w:val="724D71DA"/>
    <w:rsid w:val="72893D34"/>
    <w:rsid w:val="742C4E6F"/>
    <w:rsid w:val="74673FF8"/>
    <w:rsid w:val="76EA2DC0"/>
    <w:rsid w:val="77250099"/>
    <w:rsid w:val="782151A5"/>
    <w:rsid w:val="7B7900AE"/>
    <w:rsid w:val="7BEF7034"/>
    <w:rsid w:val="7BF33B9E"/>
    <w:rsid w:val="7DC119CE"/>
    <w:rsid w:val="7F5E4C8D"/>
    <w:rsid w:val="7FBBCB42"/>
    <w:rsid w:val="BA3FF786"/>
    <w:rsid w:val="D9FE789E"/>
    <w:rsid w:val="E96363D4"/>
    <w:rsid w:val="EF7D966C"/>
    <w:rsid w:val="FE7B67DE"/>
    <w:rsid w:val="FFBCC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nhideWhenUsed/>
    <w:qFormat/>
    <w:uiPriority w:val="99"/>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otnote reference"/>
    <w:unhideWhenUsed/>
    <w:qFormat/>
    <w:uiPriority w:val="99"/>
    <w:rPr>
      <w:vertAlign w:val="superscript"/>
    </w:rPr>
  </w:style>
  <w:style w:type="paragraph" w:customStyle="1" w:styleId="11">
    <w:name w:val="正文2"/>
    <w:basedOn w:val="1"/>
    <w:next w:val="1"/>
    <w:qFormat/>
    <w:uiPriority w:val="0"/>
    <w:rPr>
      <w:rFonts w:ascii="仿宋_GB2312"/>
      <w:szCs w:val="20"/>
    </w:rPr>
  </w:style>
  <w:style w:type="paragraph" w:customStyle="1" w:styleId="12">
    <w:name w:val="报告正文"/>
    <w:basedOn w:val="1"/>
    <w:qFormat/>
    <w:uiPriority w:val="0"/>
    <w:pPr>
      <w:spacing w:line="360" w:lineRule="auto"/>
      <w:ind w:firstLine="200" w:firstLineChars="200"/>
    </w:pPr>
    <w:rPr>
      <w:rFonts w:ascii="Times New Roman" w:hAnsi="Times New Roman" w:eastAsia="仿宋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2023-10-13T00:31:00Z</dcterms:created>
  <dc:creator>~木南~</dc:creator>
  <cp:lastModifiedBy>uos</cp:lastModifiedBy>
  <cp:lastPrinted>2023-12-19T16:45:00Z</cp:lastPrinted>
  <dcterms:modified xsi:type="dcterms:W3CDTF">2023-12-26T13:15:20Z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71280EC46FFB4FEABAA11B54610DC5EA_13</vt:lpwstr>
  </property>
</Properties>
</file>