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3C9E04">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仿宋_GB2312" w:eastAsia="仿宋_GB2312" w:cs="仿宋_GB2312"/>
          <w:b/>
          <w:bCs/>
          <w:sz w:val="32"/>
          <w:szCs w:val="32"/>
          <w:shd w:val="clear" w:color="auto" w:fill="FFFFFF"/>
        </w:rPr>
      </w:pPr>
    </w:p>
    <w:p w14:paraId="27F9BE67">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60" w:lineRule="exact"/>
        <w:ind w:firstLine="482"/>
        <w:jc w:val="center"/>
        <w:textAlignment w:val="auto"/>
        <w:rPr>
          <w:rFonts w:hint="eastAsia" w:ascii="方正小标宋简体" w:hAnsi="方正小标宋简体" w:eastAsia="方正小标宋简体" w:cs="方正小标宋简体"/>
          <w:b w:val="0"/>
          <w:bCs w:val="0"/>
          <w:sz w:val="44"/>
          <w:szCs w:val="44"/>
          <w:shd w:val="clear" w:color="auto" w:fill="FFFFFF"/>
        </w:rPr>
      </w:pPr>
      <w:r>
        <w:rPr>
          <w:rFonts w:hint="eastAsia" w:ascii="方正小标宋简体" w:hAnsi="方正小标宋简体" w:eastAsia="方正小标宋简体" w:cs="方正小标宋简体"/>
          <w:b w:val="0"/>
          <w:bCs w:val="0"/>
          <w:sz w:val="44"/>
          <w:szCs w:val="44"/>
          <w:shd w:val="clear" w:color="auto" w:fill="FFFFFF"/>
        </w:rPr>
        <w:t>四川艺术基金大型舞台剧和作品初创资助</w:t>
      </w:r>
    </w:p>
    <w:p w14:paraId="683A9672">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60" w:lineRule="exact"/>
        <w:ind w:firstLine="482"/>
        <w:jc w:val="center"/>
        <w:textAlignment w:val="auto"/>
        <w:rPr>
          <w:rStyle w:val="7"/>
          <w:rFonts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shd w:val="clear" w:color="auto" w:fill="FFFFFF"/>
        </w:rPr>
        <w:t>项目经费使用细则（试行）</w:t>
      </w:r>
    </w:p>
    <w:p w14:paraId="477778C2">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jc w:val="both"/>
        <w:textAlignment w:val="auto"/>
        <w:rPr>
          <w:rStyle w:val="7"/>
          <w:sz w:val="32"/>
          <w:szCs w:val="32"/>
        </w:rPr>
      </w:pPr>
    </w:p>
    <w:p w14:paraId="403E7D83">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jc w:val="center"/>
        <w:textAlignment w:val="auto"/>
        <w:rPr>
          <w:rFonts w:ascii="黑体" w:hAnsi="黑体" w:eastAsia="黑体" w:cs="黑体"/>
          <w:sz w:val="32"/>
          <w:szCs w:val="32"/>
        </w:rPr>
      </w:pPr>
      <w:r>
        <w:rPr>
          <w:rStyle w:val="7"/>
          <w:rFonts w:hint="eastAsia" w:ascii="黑体" w:hAnsi="黑体" w:eastAsia="黑体" w:cs="黑体"/>
          <w:b w:val="0"/>
          <w:bCs w:val="0"/>
          <w:sz w:val="32"/>
          <w:szCs w:val="32"/>
        </w:rPr>
        <w:t>第一章</w:t>
      </w:r>
      <w:r>
        <w:rPr>
          <w:rStyle w:val="7"/>
          <w:rFonts w:hint="eastAsia" w:ascii="黑体" w:hAnsi="黑体" w:eastAsia="黑体" w:cs="黑体"/>
          <w:b w:val="0"/>
          <w:bCs w:val="0"/>
          <w:sz w:val="32"/>
          <w:szCs w:val="32"/>
          <w:lang w:val="en-US" w:eastAsia="zh-CN"/>
        </w:rPr>
        <w:t xml:space="preserve"> </w:t>
      </w:r>
      <w:r>
        <w:rPr>
          <w:rStyle w:val="7"/>
          <w:rFonts w:hint="eastAsia" w:ascii="黑体" w:hAnsi="黑体" w:eastAsia="黑体" w:cs="黑体"/>
          <w:b w:val="0"/>
          <w:bCs w:val="0"/>
          <w:sz w:val="32"/>
          <w:szCs w:val="32"/>
        </w:rPr>
        <w:t>总则</w:t>
      </w:r>
    </w:p>
    <w:p w14:paraId="76DE6156">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eastAsia" w:ascii="仿宋_GB2312" w:hAnsi="仿宋_GB2312" w:eastAsia="仿宋_GB2312" w:cs="仿宋_GB2312"/>
          <w:sz w:val="32"/>
          <w:szCs w:val="32"/>
        </w:rPr>
      </w:pPr>
      <w:r>
        <w:rPr>
          <w:rStyle w:val="7"/>
          <w:rFonts w:hint="eastAsia" w:ascii="仿宋_GB2312" w:hAnsi="仿宋_GB2312" w:eastAsia="仿宋_GB2312" w:cs="仿宋_GB2312"/>
          <w:sz w:val="32"/>
          <w:szCs w:val="32"/>
        </w:rPr>
        <w:t>第一条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为进一步规范和加强四川艺术基金（以下简称“艺术基金”）大型舞</w:t>
      </w:r>
      <w:bookmarkStart w:id="0" w:name="_GoBack"/>
      <w:bookmarkEnd w:id="0"/>
      <w:r>
        <w:rPr>
          <w:rFonts w:hint="eastAsia" w:ascii="仿宋_GB2312" w:hAnsi="仿宋_GB2312" w:eastAsia="仿宋_GB2312" w:cs="仿宋_GB2312"/>
          <w:sz w:val="32"/>
          <w:szCs w:val="32"/>
        </w:rPr>
        <w:t>台剧和作品初创资助项目经费使用，提高资金使用效益，根据《中共四川省委四川省人民政府关于全面实施预算绩效管理的实施意见》《四川艺术基金章程》《四川艺术基金财务管理办法》及国家有关财务规章制度规定，制定本细则。</w:t>
      </w:r>
    </w:p>
    <w:p w14:paraId="38DD8E44">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eastAsia" w:ascii="仿宋_GB2312" w:hAnsi="仿宋_GB2312" w:eastAsia="仿宋_GB2312" w:cs="仿宋_GB2312"/>
          <w:sz w:val="32"/>
          <w:szCs w:val="32"/>
        </w:rPr>
      </w:pPr>
      <w:r>
        <w:rPr>
          <w:rStyle w:val="7"/>
          <w:rFonts w:hint="eastAsia" w:ascii="仿宋_GB2312" w:hAnsi="仿宋_GB2312" w:eastAsia="仿宋_GB2312" w:cs="仿宋_GB2312"/>
          <w:sz w:val="32"/>
          <w:szCs w:val="32"/>
        </w:rPr>
        <w:t>第二条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艺术基金的资金，</w:t>
      </w:r>
      <w:r>
        <w:rPr>
          <w:rFonts w:hint="eastAsia" w:ascii="仿宋_GB2312" w:hAnsi="仿宋_GB2312" w:eastAsia="仿宋_GB2312" w:cs="仿宋_GB2312"/>
          <w:sz w:val="32"/>
          <w:szCs w:val="32"/>
          <w:lang w:val="en-US" w:eastAsia="zh-CN"/>
        </w:rPr>
        <w:t>主要</w:t>
      </w:r>
      <w:r>
        <w:rPr>
          <w:rFonts w:hint="eastAsia" w:ascii="仿宋_GB2312" w:hAnsi="仿宋_GB2312" w:eastAsia="仿宋_GB2312" w:cs="仿宋_GB2312"/>
          <w:sz w:val="32"/>
          <w:szCs w:val="32"/>
        </w:rPr>
        <w:t>来自四川省级财政拨款。</w:t>
      </w:r>
    </w:p>
    <w:p w14:paraId="60FD7B40">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eastAsia" w:ascii="仿宋_GB2312" w:hAnsi="仿宋_GB2312" w:eastAsia="仿宋_GB2312" w:cs="仿宋_GB2312"/>
          <w:sz w:val="32"/>
          <w:szCs w:val="32"/>
        </w:rPr>
      </w:pPr>
      <w:r>
        <w:rPr>
          <w:rStyle w:val="7"/>
          <w:rFonts w:hint="eastAsia" w:ascii="仿宋_GB2312" w:hAnsi="仿宋_GB2312" w:eastAsia="仿宋_GB2312" w:cs="仿宋_GB2312"/>
          <w:sz w:val="32"/>
          <w:szCs w:val="32"/>
        </w:rPr>
        <w:t>第三条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本细则所称项目经费，是指艺术基金用于资助大型舞台剧和作品</w:t>
      </w:r>
      <w:r>
        <w:rPr>
          <w:rFonts w:hint="eastAsia" w:ascii="仿宋_GB2312" w:hAnsi="仿宋_GB2312" w:eastAsia="仿宋_GB2312" w:cs="仿宋_GB2312"/>
          <w:sz w:val="32"/>
          <w:szCs w:val="32"/>
          <w:lang w:val="en-US" w:eastAsia="zh-CN"/>
        </w:rPr>
        <w:t>初期</w:t>
      </w:r>
      <w:r>
        <w:rPr>
          <w:rFonts w:hint="eastAsia" w:ascii="仿宋_GB2312" w:hAnsi="仿宋_GB2312" w:eastAsia="仿宋_GB2312" w:cs="仿宋_GB2312"/>
          <w:sz w:val="32"/>
          <w:szCs w:val="32"/>
        </w:rPr>
        <w:t>创作生产及完成规定场次演出活动的专项经费。</w:t>
      </w:r>
    </w:p>
    <w:p w14:paraId="7D9A1893">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eastAsia" w:ascii="仿宋_GB2312" w:hAnsi="仿宋_GB2312" w:eastAsia="仿宋_GB2312" w:cs="仿宋_GB2312"/>
          <w:sz w:val="32"/>
          <w:szCs w:val="32"/>
        </w:rPr>
      </w:pPr>
      <w:r>
        <w:rPr>
          <w:rStyle w:val="7"/>
          <w:rFonts w:hint="eastAsia" w:ascii="仿宋_GB2312" w:hAnsi="仿宋_GB2312" w:eastAsia="仿宋_GB2312" w:cs="仿宋_GB2312"/>
          <w:sz w:val="32"/>
          <w:szCs w:val="32"/>
        </w:rPr>
        <w:t>第四条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项目经费管理和使用各方应承担如下责任：</w:t>
      </w:r>
    </w:p>
    <w:p w14:paraId="55514E68">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（一）四川艺术基金理事会作为艺术基金的决策机构，承担年度资助方案的审定和项目经费使用情况的审查职责。</w:t>
      </w:r>
    </w:p>
    <w:p w14:paraId="791D5230">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（二）四川艺术基金专家库专家承担咨询、评审、监督等相关职责。</w:t>
      </w:r>
    </w:p>
    <w:p w14:paraId="0B5CC759">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（三）四川</w:t>
      </w:r>
      <w:r>
        <w:rPr>
          <w:rFonts w:hint="eastAsia" w:ascii="仿宋_GB2312" w:hAnsi="仿宋_GB2312" w:eastAsia="仿宋_GB2312" w:cs="仿宋_GB2312"/>
          <w:sz w:val="32"/>
          <w:szCs w:val="32"/>
          <w:lang w:val="en-US" w:eastAsia="zh-CN"/>
        </w:rPr>
        <w:t>省</w:t>
      </w:r>
      <w:r>
        <w:rPr>
          <w:rFonts w:hint="eastAsia" w:ascii="仿宋_GB2312" w:hAnsi="仿宋_GB2312" w:eastAsia="仿宋_GB2312" w:cs="仿宋_GB2312"/>
          <w:sz w:val="32"/>
          <w:szCs w:val="32"/>
        </w:rPr>
        <w:t>艺术基金中心和各市州文旅局作为艺术基金管理和组织实施单位，承担对申报实施项目的政治导向管理、项目质量管理和经费使用的直接监督指导责任。</w:t>
      </w:r>
    </w:p>
    <w:p w14:paraId="557AF63A">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（四）项目主体按照“谁申报谁负责、谁实施谁负责”的原则，承担对申报实施项目的政治导向管理、项目质量管理和经费使用的主体责任。</w:t>
      </w:r>
    </w:p>
    <w:p w14:paraId="36F72721">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kern w:val="0"/>
          <w:sz w:val="32"/>
          <w:szCs w:val="32"/>
        </w:rPr>
      </w:pPr>
      <w:r>
        <w:rPr>
          <w:rStyle w:val="7"/>
          <w:rFonts w:hint="eastAsia" w:ascii="仿宋_GB2312" w:hAnsi="仿宋_GB2312" w:eastAsia="仿宋_GB2312" w:cs="仿宋_GB2312"/>
          <w:sz w:val="32"/>
          <w:szCs w:val="32"/>
        </w:rPr>
        <w:t>第五条</w:t>
      </w:r>
      <w:r>
        <w:rPr>
          <w:rStyle w:val="7"/>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kern w:val="0"/>
          <w:sz w:val="32"/>
          <w:szCs w:val="32"/>
        </w:rPr>
        <w:t>大型舞台剧和作品初创资助项目实行匹配资助。</w:t>
      </w:r>
    </w:p>
    <w:p w14:paraId="360DBCAC">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对于立项资助项目，成本补偿额度</w:t>
      </w:r>
      <w:r>
        <w:rPr>
          <w:rFonts w:hint="eastAsia" w:ascii="仿宋_GB2312" w:hAnsi="仿宋_GB2312" w:eastAsia="仿宋_GB2312" w:cs="仿宋_GB2312"/>
          <w:kern w:val="0"/>
          <w:sz w:val="32"/>
          <w:szCs w:val="32"/>
          <w:lang w:val="en-US" w:eastAsia="zh-CN"/>
        </w:rPr>
        <w:t>原则上</w:t>
      </w:r>
      <w:r>
        <w:rPr>
          <w:rFonts w:hint="eastAsia" w:ascii="仿宋_GB2312" w:hAnsi="仿宋_GB2312" w:eastAsia="仿宋_GB2312" w:cs="仿宋_GB2312"/>
          <w:kern w:val="0"/>
          <w:sz w:val="32"/>
          <w:szCs w:val="32"/>
        </w:rPr>
        <w:t>不高于项目核定总成本预算额度的50％。</w:t>
      </w:r>
    </w:p>
    <w:p w14:paraId="7D135812">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项目主体申报时须提供已落实经费与资源配套证明，如银行存款证明、贷款协议或贷款意向函、与资金提供单位的合作意向书、政府有关部门的文件证明等。</w:t>
      </w:r>
    </w:p>
    <w:p w14:paraId="5303C4B0">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eastAsia" w:ascii="仿宋_GB2312" w:hAnsi="仿宋_GB2312" w:eastAsia="仿宋_GB2312" w:cs="仿宋_GB2312"/>
          <w:sz w:val="32"/>
          <w:szCs w:val="32"/>
        </w:rPr>
      </w:pPr>
      <w:r>
        <w:rPr>
          <w:rStyle w:val="7"/>
          <w:rFonts w:hint="eastAsia" w:ascii="仿宋_GB2312" w:hAnsi="仿宋_GB2312" w:eastAsia="仿宋_GB2312" w:cs="仿宋_GB2312"/>
          <w:sz w:val="32"/>
          <w:szCs w:val="32"/>
        </w:rPr>
        <w:t>第六条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项目经费管理和使用执行如下原则：</w:t>
      </w:r>
    </w:p>
    <w:p w14:paraId="41D929D2">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（一）科学安排，合理配置。项目主体应严格按照项目的实施计划和目标任务，科学合理地编制和安排预算。严格会议、差旅、培训等预算管理，控制相关支出规模。</w:t>
      </w:r>
    </w:p>
    <w:p w14:paraId="2A8809A9">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（二）权责明确，讲求绩效。项目经费管理各方应权责明确，各负其责，加强对项目经费全过程绩效管理，提高资金使用效益。</w:t>
      </w:r>
    </w:p>
    <w:p w14:paraId="3D308E13">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（三）单独核算，专款专用。项目经费应当纳入项目主体财务，统一管理，单独核算，确保专款专用。</w:t>
      </w:r>
    </w:p>
    <w:p w14:paraId="36FA83ED">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（四）一次核定，分期支付。项目经费根据项目类型、艺术门类的创作规律及实际情况，按程序一次核定，按70％、30％的比例分立项款、结项款两批次支付经费。</w:t>
      </w:r>
    </w:p>
    <w:p w14:paraId="15C211F5">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jc w:val="both"/>
        <w:textAlignment w:val="auto"/>
        <w:rPr>
          <w:rStyle w:val="7"/>
          <w:rFonts w:hint="eastAsia" w:ascii="仿宋_GB2312" w:hAnsi="仿宋_GB2312" w:eastAsia="仿宋_GB2312" w:cs="仿宋_GB2312"/>
          <w:b w:val="0"/>
          <w:bCs w:val="0"/>
          <w:sz w:val="32"/>
          <w:szCs w:val="32"/>
        </w:rPr>
      </w:pPr>
    </w:p>
    <w:p w14:paraId="6F023D67">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jc w:val="center"/>
        <w:textAlignment w:val="auto"/>
        <w:rPr>
          <w:rFonts w:ascii="黑体" w:hAnsi="黑体" w:eastAsia="黑体" w:cs="黑体"/>
          <w:sz w:val="32"/>
          <w:szCs w:val="32"/>
        </w:rPr>
      </w:pPr>
      <w:r>
        <w:rPr>
          <w:rStyle w:val="7"/>
          <w:rFonts w:hint="eastAsia" w:ascii="黑体" w:hAnsi="黑体" w:eastAsia="黑体" w:cs="黑体"/>
          <w:b w:val="0"/>
          <w:bCs w:val="0"/>
          <w:sz w:val="32"/>
          <w:szCs w:val="32"/>
        </w:rPr>
        <w:t>第二章</w:t>
      </w:r>
      <w:r>
        <w:rPr>
          <w:rStyle w:val="7"/>
          <w:rFonts w:hint="eastAsia" w:ascii="黑体" w:hAnsi="黑体" w:eastAsia="黑体" w:cs="黑体"/>
          <w:b w:val="0"/>
          <w:bCs w:val="0"/>
          <w:sz w:val="32"/>
          <w:szCs w:val="32"/>
          <w:lang w:val="en-US" w:eastAsia="zh-CN"/>
        </w:rPr>
        <w:t xml:space="preserve"> </w:t>
      </w:r>
      <w:r>
        <w:rPr>
          <w:rStyle w:val="7"/>
          <w:rFonts w:hint="eastAsia" w:ascii="黑体" w:hAnsi="黑体" w:eastAsia="黑体" w:cs="黑体"/>
          <w:b w:val="0"/>
          <w:bCs w:val="0"/>
          <w:sz w:val="32"/>
          <w:szCs w:val="32"/>
        </w:rPr>
        <w:t>项目经费开支范围</w:t>
      </w:r>
    </w:p>
    <w:p w14:paraId="14AD9A91">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eastAsia" w:ascii="仿宋_GB2312" w:hAnsi="仿宋_GB2312" w:eastAsia="仿宋_GB2312" w:cs="仿宋_GB2312"/>
          <w:sz w:val="32"/>
          <w:szCs w:val="32"/>
        </w:rPr>
      </w:pPr>
      <w:r>
        <w:rPr>
          <w:rStyle w:val="7"/>
          <w:rFonts w:hint="eastAsia" w:ascii="仿宋_GB2312" w:hAnsi="仿宋_GB2312" w:eastAsia="仿宋_GB2312" w:cs="仿宋_GB2312"/>
          <w:sz w:val="32"/>
          <w:szCs w:val="32"/>
        </w:rPr>
        <w:t>第七条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项目经费支出是指与项目组织实施活动相关的、由项目资金支付的各项费用支出。项目经费分为直接费用和间接费用。</w:t>
      </w:r>
    </w:p>
    <w:p w14:paraId="571ED62B">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eastAsia" w:ascii="仿宋_GB2312" w:hAnsi="仿宋_GB2312" w:eastAsia="仿宋_GB2312" w:cs="仿宋_GB2312"/>
          <w:sz w:val="32"/>
          <w:szCs w:val="32"/>
        </w:rPr>
      </w:pPr>
      <w:r>
        <w:rPr>
          <w:rStyle w:val="7"/>
          <w:rFonts w:hint="eastAsia" w:ascii="仿宋_GB2312" w:hAnsi="仿宋_GB2312" w:eastAsia="仿宋_GB2312" w:cs="仿宋_GB2312"/>
          <w:sz w:val="32"/>
          <w:szCs w:val="32"/>
        </w:rPr>
        <w:t>第八条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直接费用是指在项目实施过程中发生的与之直接相关的费用，包括创作费、制作费、排练演出费三个一级科目。</w:t>
      </w:r>
    </w:p>
    <w:p w14:paraId="30A85612">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eastAsia" w:ascii="仿宋_GB2312" w:hAnsi="仿宋_GB2312" w:eastAsia="仿宋_GB2312" w:cs="仿宋_GB2312"/>
          <w:sz w:val="32"/>
          <w:szCs w:val="32"/>
          <w:lang w:eastAsia="zh-CN"/>
        </w:rPr>
      </w:pPr>
      <w:r>
        <w:rPr>
          <w:rStyle w:val="7"/>
          <w:rFonts w:hint="eastAsia" w:ascii="仿宋_GB2312" w:hAnsi="仿宋_GB2312" w:eastAsia="仿宋_GB2312" w:cs="仿宋_GB2312"/>
          <w:sz w:val="32"/>
          <w:szCs w:val="32"/>
        </w:rPr>
        <w:t>第九条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创作费是指在大型舞台剧和作品初创过程中发生的各项费用。包括</w:t>
      </w:r>
      <w:r>
        <w:rPr>
          <w:rFonts w:hint="eastAsia" w:ascii="仿宋_GB2312" w:hAnsi="仿宋_GB2312" w:eastAsia="仿宋_GB2312" w:cs="仿宋_GB2312"/>
          <w:sz w:val="32"/>
          <w:szCs w:val="32"/>
          <w:lang w:eastAsia="zh-CN"/>
        </w:rPr>
        <w:t>：</w:t>
      </w:r>
    </w:p>
    <w:p w14:paraId="5E5997D9">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（一）编剧（含改编移植）费：指编剧进行剧本创作、改编、移植的费用；</w:t>
      </w:r>
    </w:p>
    <w:p w14:paraId="5709D193">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（二）作曲（含编曲、唱腔设计）费：指作曲家对舞台演出中的音乐进行乐谱编排或有组织化的音响设计创作的费用；</w:t>
      </w:r>
    </w:p>
    <w:p w14:paraId="19B09F1B">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（三）导演（含编导、指挥）费：指导演、音乐及舞蹈编导、乐队指挥将剧本、曲谱、设计图内容转化为舞台形象，并编排形成完整舞台演出的费用；</w:t>
      </w:r>
    </w:p>
    <w:p w14:paraId="497A084E">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（四）舞台美术设计费：指置景、灯光、音响、服装、道具、化妆以及多媒体视觉等所有舞台景观呈现过程中发生的设计费用；</w:t>
      </w:r>
    </w:p>
    <w:p w14:paraId="5177A793">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（五）表演创作费：指演员塑造舞台艺术形象，进行审美意象创造的费用；</w:t>
      </w:r>
    </w:p>
    <w:p w14:paraId="3D0EE476">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（六）前期论证费：指演出主创、专家在制作前对剧本、导演阐述、舞台构思等重要内容进行论证的费用；</w:t>
      </w:r>
    </w:p>
    <w:p w14:paraId="37196D13">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（七）后期修改费：指首演结束后组织专家针对剧目演出具体细节元素进行研讨和加工修改提高的费用。</w:t>
      </w:r>
    </w:p>
    <w:p w14:paraId="45C41F45">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eastAsia" w:ascii="仿宋_GB2312" w:hAnsi="仿宋_GB2312" w:eastAsia="仿宋_GB2312" w:cs="仿宋_GB2312"/>
          <w:sz w:val="32"/>
          <w:szCs w:val="32"/>
        </w:rPr>
      </w:pPr>
      <w:r>
        <w:rPr>
          <w:rStyle w:val="7"/>
          <w:rFonts w:hint="eastAsia" w:ascii="仿宋_GB2312" w:hAnsi="仿宋_GB2312" w:eastAsia="仿宋_GB2312" w:cs="仿宋_GB2312"/>
          <w:sz w:val="32"/>
          <w:szCs w:val="32"/>
        </w:rPr>
        <w:t>第十条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制作费是指在大型舞台剧和作品初创过程中发生的各项费用。包括：</w:t>
      </w:r>
    </w:p>
    <w:p w14:paraId="55542127">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（一）舞台美术制作费：指置景、灯光、音响、服装、道具、化妆以及多媒体视觉等所有舞台景观呈现过程中发生的设备租用与制作费用；</w:t>
      </w:r>
    </w:p>
    <w:p w14:paraId="2C5585B0">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（二）音乐制作费：指音乐素材采集、编配、制作、合成（录音、乐队演奏、录音棚租用及合成、混音、MIDI小样制作等）费用。</w:t>
      </w:r>
    </w:p>
    <w:p w14:paraId="63E5E774">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eastAsia" w:ascii="仿宋_GB2312" w:hAnsi="仿宋_GB2312" w:eastAsia="仿宋_GB2312" w:cs="仿宋_GB2312"/>
          <w:sz w:val="32"/>
          <w:szCs w:val="32"/>
        </w:rPr>
      </w:pPr>
      <w:r>
        <w:rPr>
          <w:rStyle w:val="7"/>
          <w:rFonts w:hint="eastAsia" w:ascii="仿宋_GB2312" w:hAnsi="仿宋_GB2312" w:eastAsia="仿宋_GB2312" w:cs="仿宋_GB2312"/>
          <w:sz w:val="32"/>
          <w:szCs w:val="32"/>
        </w:rPr>
        <w:t>第十一条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排练演出费是指在</w:t>
      </w:r>
      <w:r>
        <w:rPr>
          <w:rFonts w:hint="eastAsia" w:ascii="仿宋_GB2312" w:hAnsi="仿宋_GB2312" w:eastAsia="仿宋_GB2312" w:cs="仿宋_GB2312"/>
          <w:sz w:val="32"/>
          <w:szCs w:val="32"/>
          <w:lang w:val="en-US" w:eastAsia="zh-CN"/>
        </w:rPr>
        <w:t>初创</w:t>
      </w:r>
      <w:r>
        <w:rPr>
          <w:rFonts w:hint="eastAsia" w:ascii="仿宋_GB2312" w:hAnsi="仿宋_GB2312" w:eastAsia="仿宋_GB2312" w:cs="仿宋_GB2312"/>
          <w:sz w:val="32"/>
          <w:szCs w:val="32"/>
        </w:rPr>
        <w:t>大型舞台剧和作品排练演出过程中发生的各项费用。包括：</w:t>
      </w:r>
    </w:p>
    <w:p w14:paraId="7DBB7853">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（一）租赁费：指排练演出期间所需要的租赁费用，如场地、器材、设备、服装、道具等；</w:t>
      </w:r>
    </w:p>
    <w:p w14:paraId="73E4B3A1">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（二）运输费：指舞台设备在进、出剧场期间的运输费用和运输过程中发生的保险费用；</w:t>
      </w:r>
    </w:p>
    <w:p w14:paraId="40D86279">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（三）差旅费：指排练演出期间发生的相关人员的城市间飞机、火车、轮船或租用车辆的费用、市内交通费、住宿费和伙食费；</w:t>
      </w:r>
    </w:p>
    <w:p w14:paraId="780C8119">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（四）宣传费：指剧本、导演手记等资料印刷出版以及海报、宣传册、媒体报道等宣传活动的费用；</w:t>
      </w:r>
    </w:p>
    <w:p w14:paraId="44774D78">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（五）录音录像费：指排练演出期间发生的录音、录像以及后期剪辑、音像成品制作等费用。</w:t>
      </w:r>
    </w:p>
    <w:p w14:paraId="72902DB6">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eastAsia" w:ascii="仿宋_GB2312" w:hAnsi="仿宋_GB2312" w:eastAsia="仿宋_GB2312" w:cs="仿宋_GB2312"/>
          <w:sz w:val="32"/>
          <w:szCs w:val="32"/>
        </w:rPr>
      </w:pPr>
      <w:r>
        <w:rPr>
          <w:rStyle w:val="7"/>
          <w:rFonts w:hint="eastAsia" w:ascii="仿宋_GB2312" w:hAnsi="仿宋_GB2312" w:eastAsia="仿宋_GB2312" w:cs="仿宋_GB2312"/>
          <w:sz w:val="32"/>
          <w:szCs w:val="32"/>
        </w:rPr>
        <w:t>第十二条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直接费用下各科目应在相应的标准内支出，实行分科目控制。</w:t>
      </w:r>
    </w:p>
    <w:p w14:paraId="174FE8A8">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eastAsia" w:ascii="仿宋_GB2312" w:hAnsi="仿宋_GB2312" w:eastAsia="仿宋_GB2312" w:cs="仿宋_GB2312"/>
          <w:sz w:val="32"/>
          <w:szCs w:val="32"/>
        </w:rPr>
      </w:pPr>
      <w:r>
        <w:rPr>
          <w:rStyle w:val="7"/>
          <w:rFonts w:hint="eastAsia" w:ascii="仿宋_GB2312" w:hAnsi="仿宋_GB2312" w:eastAsia="仿宋_GB2312" w:cs="仿宋_GB2312"/>
          <w:sz w:val="32"/>
          <w:szCs w:val="32"/>
        </w:rPr>
        <w:t>第十三条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间接费用是指项目主体在组织实施项目过程中发生的无法在直接费用中列支的相关费用。用于项目实施所产生的相关税费、专项审计费用等。</w:t>
      </w:r>
    </w:p>
    <w:p w14:paraId="39578418">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eastAsia" w:ascii="仿宋_GB2312" w:hAnsi="仿宋_GB2312" w:eastAsia="仿宋_GB2312" w:cs="仿宋_GB2312"/>
          <w:sz w:val="32"/>
          <w:szCs w:val="32"/>
        </w:rPr>
      </w:pPr>
      <w:r>
        <w:rPr>
          <w:rStyle w:val="7"/>
          <w:rFonts w:hint="eastAsia" w:ascii="仿宋_GB2312" w:hAnsi="仿宋_GB2312" w:eastAsia="仿宋_GB2312" w:cs="仿宋_GB2312"/>
          <w:sz w:val="32"/>
          <w:szCs w:val="32"/>
        </w:rPr>
        <w:t>第十四条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间接费用实行总额控制，不得超过资助资金总额的5％。</w:t>
      </w:r>
    </w:p>
    <w:p w14:paraId="26CDF3FA">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仿宋_GB2312" w:eastAsia="仿宋_GB2312" w:cs="仿宋_GB2312"/>
          <w:sz w:val="32"/>
          <w:szCs w:val="32"/>
        </w:rPr>
      </w:pPr>
    </w:p>
    <w:p w14:paraId="34CA33B8">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jc w:val="center"/>
        <w:textAlignment w:val="auto"/>
        <w:rPr>
          <w:rFonts w:ascii="黑体" w:hAnsi="黑体" w:eastAsia="黑体" w:cs="黑体"/>
          <w:sz w:val="32"/>
          <w:szCs w:val="32"/>
        </w:rPr>
      </w:pPr>
      <w:r>
        <w:rPr>
          <w:rStyle w:val="7"/>
          <w:rFonts w:hint="eastAsia" w:ascii="黑体" w:hAnsi="黑体" w:eastAsia="黑体" w:cs="黑体"/>
          <w:b w:val="0"/>
          <w:bCs w:val="0"/>
          <w:sz w:val="32"/>
          <w:szCs w:val="32"/>
        </w:rPr>
        <w:t>第三章</w:t>
      </w:r>
      <w:r>
        <w:rPr>
          <w:rStyle w:val="7"/>
          <w:rFonts w:hint="eastAsia" w:ascii="黑体" w:hAnsi="黑体" w:eastAsia="黑体" w:cs="黑体"/>
          <w:b w:val="0"/>
          <w:bCs w:val="0"/>
          <w:sz w:val="32"/>
          <w:szCs w:val="32"/>
          <w:lang w:val="en-US" w:eastAsia="zh-CN"/>
        </w:rPr>
        <w:t xml:space="preserve"> </w:t>
      </w:r>
      <w:r>
        <w:rPr>
          <w:rStyle w:val="7"/>
          <w:rFonts w:hint="eastAsia" w:ascii="黑体" w:hAnsi="黑体" w:eastAsia="黑体" w:cs="黑体"/>
          <w:b w:val="0"/>
          <w:bCs w:val="0"/>
          <w:sz w:val="32"/>
          <w:szCs w:val="32"/>
        </w:rPr>
        <w:t>项目经费预算编制和支付</w:t>
      </w:r>
    </w:p>
    <w:p w14:paraId="226E33F5">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eastAsia" w:ascii="仿宋_GB2312" w:hAnsi="仿宋_GB2312" w:eastAsia="仿宋_GB2312" w:cs="仿宋_GB2312"/>
          <w:sz w:val="32"/>
          <w:szCs w:val="32"/>
        </w:rPr>
      </w:pPr>
      <w:r>
        <w:rPr>
          <w:rStyle w:val="7"/>
          <w:rFonts w:hint="eastAsia" w:ascii="仿宋_GB2312" w:hAnsi="仿宋_GB2312" w:eastAsia="仿宋_GB2312" w:cs="仿宋_GB2312"/>
          <w:sz w:val="32"/>
          <w:szCs w:val="32"/>
        </w:rPr>
        <w:t>第十五条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项目主体根据艺术基金年度资助项目申报指南的要求，以及资助项目申报书中预算申请表的开支内容，结合项目实施计划，合理安排项目执行各阶段的经费需求，确定预算内容和开支额度，如实填报预算。</w:t>
      </w:r>
    </w:p>
    <w:p w14:paraId="55C44646">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eastAsia" w:ascii="仿宋_GB2312" w:hAnsi="仿宋_GB2312" w:eastAsia="仿宋_GB2312" w:cs="仿宋_GB2312"/>
          <w:sz w:val="32"/>
          <w:szCs w:val="32"/>
        </w:rPr>
      </w:pPr>
      <w:r>
        <w:rPr>
          <w:rStyle w:val="7"/>
          <w:rFonts w:hint="eastAsia" w:ascii="仿宋_GB2312" w:hAnsi="仿宋_GB2312" w:eastAsia="仿宋_GB2312" w:cs="仿宋_GB2312"/>
          <w:sz w:val="32"/>
          <w:szCs w:val="32"/>
        </w:rPr>
        <w:t>第十六条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经费预算编制应坚持目标相关性、政策相符性和支出合理性原则，由项目主体财务部门与业务部门共同编制。</w:t>
      </w:r>
    </w:p>
    <w:p w14:paraId="4B5AAE55">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eastAsia" w:ascii="仿宋_GB2312" w:hAnsi="仿宋_GB2312" w:eastAsia="仿宋_GB2312" w:cs="仿宋_GB2312"/>
          <w:sz w:val="32"/>
          <w:szCs w:val="32"/>
        </w:rPr>
      </w:pPr>
      <w:r>
        <w:rPr>
          <w:rStyle w:val="7"/>
          <w:rFonts w:hint="eastAsia" w:ascii="仿宋_GB2312" w:hAnsi="仿宋_GB2312" w:eastAsia="仿宋_GB2312" w:cs="仿宋_GB2312"/>
          <w:sz w:val="32"/>
          <w:szCs w:val="32"/>
        </w:rPr>
        <w:t>第十七条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四川</w:t>
      </w:r>
      <w:r>
        <w:rPr>
          <w:rFonts w:hint="eastAsia" w:ascii="仿宋_GB2312" w:hAnsi="仿宋_GB2312" w:eastAsia="仿宋_GB2312" w:cs="仿宋_GB2312"/>
          <w:sz w:val="32"/>
          <w:szCs w:val="32"/>
          <w:lang w:val="en-US" w:eastAsia="zh-CN"/>
        </w:rPr>
        <w:t>省</w:t>
      </w:r>
      <w:r>
        <w:rPr>
          <w:rFonts w:hint="eastAsia" w:ascii="仿宋_GB2312" w:hAnsi="仿宋_GB2312" w:eastAsia="仿宋_GB2312" w:cs="仿宋_GB2312"/>
          <w:sz w:val="32"/>
          <w:szCs w:val="32"/>
        </w:rPr>
        <w:t>艺术基金中心组织专家综合艺术门类、规模体量、主题题材、成本投入等因素，对申报项目预算进行核定，提出建议资助金额，报四川艺术基金理事会审议和四川省文化和旅游厅审定。</w:t>
      </w:r>
    </w:p>
    <w:p w14:paraId="49E3D578">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eastAsia" w:ascii="仿宋_GB2312" w:hAnsi="仿宋_GB2312" w:eastAsia="仿宋_GB2312" w:cs="仿宋_GB2312"/>
          <w:sz w:val="32"/>
          <w:szCs w:val="32"/>
        </w:rPr>
      </w:pPr>
      <w:r>
        <w:rPr>
          <w:rStyle w:val="7"/>
          <w:rFonts w:hint="eastAsia" w:ascii="仿宋_GB2312" w:hAnsi="仿宋_GB2312" w:eastAsia="仿宋_GB2312" w:cs="仿宋_GB2312"/>
          <w:sz w:val="32"/>
          <w:szCs w:val="32"/>
        </w:rPr>
        <w:t>第十八条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项目主体应根据批复后的资助金额调整项目预算方案，并与四川省艺术基金中心签定《四川艺术基金资助项目协议书》。</w:t>
      </w:r>
    </w:p>
    <w:p w14:paraId="3F4B774B">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eastAsia" w:ascii="仿宋_GB2312" w:hAnsi="仿宋_GB2312" w:eastAsia="仿宋_GB2312" w:cs="仿宋_GB2312"/>
          <w:sz w:val="32"/>
          <w:szCs w:val="32"/>
        </w:rPr>
      </w:pPr>
      <w:r>
        <w:rPr>
          <w:rStyle w:val="7"/>
          <w:rFonts w:hint="eastAsia" w:ascii="仿宋_GB2312" w:hAnsi="仿宋_GB2312" w:eastAsia="仿宋_GB2312" w:cs="仿宋_GB2312"/>
          <w:sz w:val="32"/>
          <w:szCs w:val="32"/>
        </w:rPr>
        <w:t>第十九条</w:t>
      </w:r>
      <w:r>
        <w:rPr>
          <w:rStyle w:val="7"/>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四川省艺术基金中心与项目主体签定《四川艺术基金资助项目协议书》后，支付立项经费。结合项目监督和结项验收情况，支付项目后续经费。项目经费的支付按照国库集中支付制度有关规定执行。</w:t>
      </w:r>
    </w:p>
    <w:p w14:paraId="30DDD3DB">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仿宋_GB2312" w:eastAsia="仿宋_GB2312" w:cs="仿宋_GB2312"/>
          <w:sz w:val="32"/>
          <w:szCs w:val="32"/>
        </w:rPr>
      </w:pPr>
    </w:p>
    <w:p w14:paraId="65C64D4F">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jc w:val="center"/>
        <w:textAlignment w:val="auto"/>
        <w:rPr>
          <w:rFonts w:ascii="黑体" w:hAnsi="黑体" w:eastAsia="黑体" w:cs="黑体"/>
          <w:sz w:val="32"/>
          <w:szCs w:val="32"/>
        </w:rPr>
      </w:pPr>
      <w:r>
        <w:rPr>
          <w:rStyle w:val="7"/>
          <w:rFonts w:hint="eastAsia" w:ascii="黑体" w:hAnsi="黑体" w:eastAsia="黑体" w:cs="黑体"/>
          <w:b w:val="0"/>
          <w:bCs w:val="0"/>
          <w:sz w:val="32"/>
          <w:szCs w:val="32"/>
        </w:rPr>
        <w:t>第四章</w:t>
      </w:r>
      <w:r>
        <w:rPr>
          <w:rStyle w:val="7"/>
          <w:rFonts w:hint="eastAsia" w:ascii="黑体" w:hAnsi="黑体" w:eastAsia="黑体" w:cs="黑体"/>
          <w:b w:val="0"/>
          <w:bCs w:val="0"/>
          <w:sz w:val="32"/>
          <w:szCs w:val="32"/>
          <w:lang w:val="en-US" w:eastAsia="zh-CN"/>
        </w:rPr>
        <w:t xml:space="preserve"> </w:t>
      </w:r>
      <w:r>
        <w:rPr>
          <w:rStyle w:val="7"/>
          <w:rFonts w:hint="eastAsia" w:ascii="黑体" w:hAnsi="黑体" w:eastAsia="黑体" w:cs="黑体"/>
          <w:b w:val="0"/>
          <w:bCs w:val="0"/>
          <w:sz w:val="32"/>
          <w:szCs w:val="32"/>
        </w:rPr>
        <w:t>项目经费管理与监督</w:t>
      </w:r>
    </w:p>
    <w:p w14:paraId="12A91A72">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eastAsia" w:ascii="仿宋_GB2312" w:hAnsi="仿宋_GB2312" w:eastAsia="仿宋_GB2312" w:cs="仿宋_GB2312"/>
          <w:sz w:val="32"/>
          <w:szCs w:val="32"/>
        </w:rPr>
      </w:pPr>
      <w:r>
        <w:rPr>
          <w:rStyle w:val="7"/>
          <w:rFonts w:hint="eastAsia" w:ascii="仿宋_GB2312" w:hAnsi="仿宋_GB2312" w:eastAsia="仿宋_GB2312" w:cs="仿宋_GB2312"/>
          <w:sz w:val="32"/>
          <w:szCs w:val="32"/>
        </w:rPr>
        <w:t>第二十条</w:t>
      </w:r>
      <w:r>
        <w:rPr>
          <w:rStyle w:val="7"/>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项目主体须严格按照预算执行。各科目支出额度，一般不予调整，确需调整的严格履行相关程序。</w:t>
      </w:r>
    </w:p>
    <w:p w14:paraId="4362750C">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（一）科目限额内的预算调整，履行备案程序；</w:t>
      </w:r>
    </w:p>
    <w:p w14:paraId="6F64A72B">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（二）科目限额外的预算调整，应按程序报四川</w:t>
      </w:r>
      <w:r>
        <w:rPr>
          <w:rFonts w:hint="eastAsia" w:ascii="仿宋_GB2312" w:hAnsi="仿宋_GB2312" w:eastAsia="仿宋_GB2312" w:cs="仿宋_GB2312"/>
          <w:sz w:val="32"/>
          <w:szCs w:val="32"/>
          <w:lang w:val="en-US" w:eastAsia="zh-CN"/>
        </w:rPr>
        <w:t>省</w:t>
      </w:r>
      <w:r>
        <w:rPr>
          <w:rFonts w:hint="eastAsia" w:ascii="仿宋_GB2312" w:hAnsi="仿宋_GB2312" w:eastAsia="仿宋_GB2312" w:cs="仿宋_GB2312"/>
          <w:sz w:val="32"/>
          <w:szCs w:val="32"/>
        </w:rPr>
        <w:t>艺术基金中心，由</w:t>
      </w:r>
      <w:r>
        <w:rPr>
          <w:rFonts w:hint="eastAsia" w:ascii="仿宋_GB2312" w:hAnsi="仿宋_GB2312" w:eastAsia="仿宋_GB2312" w:cs="仿宋_GB2312"/>
          <w:sz w:val="32"/>
          <w:szCs w:val="32"/>
          <w:lang w:val="en-US" w:eastAsia="zh-CN"/>
        </w:rPr>
        <w:t>省艺术基金</w:t>
      </w:r>
      <w:r>
        <w:rPr>
          <w:rFonts w:hint="eastAsia" w:ascii="仿宋_GB2312" w:hAnsi="仿宋_GB2312" w:eastAsia="仿宋_GB2312" w:cs="仿宋_GB2312"/>
          <w:sz w:val="32"/>
          <w:szCs w:val="32"/>
        </w:rPr>
        <w:t>中心组织专家予以核定。</w:t>
      </w:r>
    </w:p>
    <w:p w14:paraId="6F0E53C0">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eastAsia" w:ascii="仿宋_GB2312" w:hAnsi="仿宋_GB2312" w:eastAsia="仿宋_GB2312" w:cs="仿宋_GB2312"/>
          <w:sz w:val="32"/>
          <w:szCs w:val="32"/>
        </w:rPr>
      </w:pPr>
      <w:r>
        <w:rPr>
          <w:rStyle w:val="7"/>
          <w:rFonts w:hint="eastAsia" w:ascii="仿宋_GB2312" w:hAnsi="仿宋_GB2312" w:eastAsia="仿宋_GB2312" w:cs="仿宋_GB2312"/>
          <w:sz w:val="32"/>
          <w:szCs w:val="32"/>
        </w:rPr>
        <w:t>第二十一条</w:t>
      </w:r>
      <w:r>
        <w:rPr>
          <w:rStyle w:val="7"/>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项目经费支出过程中，属于政府采购范围的，按照政府采购有关法律法规和制度规定执行。对于交通费、住宿费等国家已出台相关支出标准的，参照国家规定的标准执行。</w:t>
      </w:r>
    </w:p>
    <w:p w14:paraId="321D90F7">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eastAsia" w:ascii="仿宋_GB2312" w:hAnsi="仿宋_GB2312" w:eastAsia="仿宋_GB2312" w:cs="仿宋_GB2312"/>
          <w:sz w:val="32"/>
          <w:szCs w:val="32"/>
        </w:rPr>
      </w:pPr>
      <w:r>
        <w:rPr>
          <w:rStyle w:val="7"/>
          <w:rFonts w:hint="eastAsia" w:ascii="仿宋_GB2312" w:hAnsi="仿宋_GB2312" w:eastAsia="仿宋_GB2312" w:cs="仿宋_GB2312"/>
          <w:sz w:val="32"/>
          <w:szCs w:val="32"/>
        </w:rPr>
        <w:t>第二十二条</w:t>
      </w:r>
      <w:r>
        <w:rPr>
          <w:rStyle w:val="7"/>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项目经费不得用于支付各种罚款、捐款、赞助、投资等支出，不得用于项目主体行政事务管理工作支出，不得用于国家规定禁止列支的其他支出。</w:t>
      </w:r>
    </w:p>
    <w:p w14:paraId="0A57ABF9">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eastAsia" w:ascii="仿宋_GB2312" w:hAnsi="仿宋_GB2312" w:eastAsia="仿宋_GB2312" w:cs="仿宋_GB2312"/>
          <w:sz w:val="32"/>
          <w:szCs w:val="32"/>
        </w:rPr>
      </w:pPr>
      <w:r>
        <w:rPr>
          <w:rStyle w:val="7"/>
          <w:rFonts w:hint="eastAsia" w:ascii="仿宋_GB2312" w:hAnsi="仿宋_GB2312" w:eastAsia="仿宋_GB2312" w:cs="仿宋_GB2312"/>
          <w:sz w:val="32"/>
          <w:szCs w:val="32"/>
        </w:rPr>
        <w:t>第二十三条</w:t>
      </w:r>
      <w:r>
        <w:rPr>
          <w:rStyle w:val="7"/>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项目实施期间，项目主体应定期将项目预算执行情况报送四川省艺术基金中心。</w:t>
      </w:r>
    </w:p>
    <w:p w14:paraId="624914E3">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eastAsia" w:ascii="仿宋_GB2312" w:hAnsi="仿宋_GB2312" w:eastAsia="仿宋_GB2312" w:cs="仿宋_GB2312"/>
          <w:sz w:val="32"/>
          <w:szCs w:val="32"/>
        </w:rPr>
      </w:pPr>
      <w:r>
        <w:rPr>
          <w:rStyle w:val="7"/>
          <w:rFonts w:hint="eastAsia" w:ascii="仿宋_GB2312" w:hAnsi="仿宋_GB2312" w:eastAsia="仿宋_GB2312" w:cs="仿宋_GB2312"/>
          <w:sz w:val="32"/>
          <w:szCs w:val="32"/>
        </w:rPr>
        <w:t>第二十四条</w:t>
      </w:r>
      <w:r>
        <w:rPr>
          <w:rStyle w:val="7"/>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项目完成后，项目主体应根据四川省艺术基金中心结项验收有关规定，编报项目结项材料。</w:t>
      </w:r>
    </w:p>
    <w:p w14:paraId="7E5ACEB2">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eastAsia" w:ascii="仿宋_GB2312" w:hAnsi="仿宋_GB2312" w:eastAsia="仿宋_GB2312" w:cs="仿宋_GB2312"/>
          <w:sz w:val="32"/>
          <w:szCs w:val="32"/>
        </w:rPr>
      </w:pPr>
      <w:r>
        <w:rPr>
          <w:rStyle w:val="7"/>
          <w:rFonts w:hint="eastAsia" w:ascii="仿宋_GB2312" w:hAnsi="仿宋_GB2312" w:eastAsia="仿宋_GB2312" w:cs="仿宋_GB2312"/>
          <w:sz w:val="32"/>
          <w:szCs w:val="32"/>
        </w:rPr>
        <w:t>第二十五条</w:t>
      </w:r>
      <w:r>
        <w:rPr>
          <w:rStyle w:val="7"/>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项目通过结项验收后，尚未用完的经费，应按原渠道退回，退回资金按照财政部关于结余资金管理的有关规定执行。</w:t>
      </w:r>
    </w:p>
    <w:p w14:paraId="4ECA2056">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eastAsia" w:ascii="仿宋_GB2312" w:hAnsi="仿宋_GB2312" w:eastAsia="仿宋_GB2312" w:cs="仿宋_GB2312"/>
          <w:sz w:val="32"/>
          <w:szCs w:val="32"/>
        </w:rPr>
      </w:pPr>
      <w:r>
        <w:rPr>
          <w:rStyle w:val="7"/>
          <w:rFonts w:hint="eastAsia" w:ascii="仿宋_GB2312" w:hAnsi="仿宋_GB2312" w:eastAsia="仿宋_GB2312" w:cs="仿宋_GB2312"/>
          <w:sz w:val="32"/>
          <w:szCs w:val="32"/>
        </w:rPr>
        <w:t>第二十六条</w:t>
      </w:r>
      <w:r>
        <w:rPr>
          <w:rStyle w:val="7"/>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四川省艺术基金中心对违反本细则及四川艺术基金其他有关管理规定的项目主体，视情节轻重分别采取书面警告、通报批评、停止拨款、撤销项目、追回全部已拨经费、暂停或取消申报资格等处理措施。</w:t>
      </w:r>
    </w:p>
    <w:p w14:paraId="5EBC6F40">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有下列情形之一的，报四川艺术基金理事会批准后追回已拨经费，并取消项目主体三年以上申报资格，涉嫌违法违纪的，移交有关部门处理。</w:t>
      </w:r>
    </w:p>
    <w:p w14:paraId="4BEF4460">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（一）项目内容及实施过程中出现政治导向问题；</w:t>
      </w:r>
    </w:p>
    <w:p w14:paraId="7737DD08">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（二）严重违反财务会计制度规定；</w:t>
      </w:r>
    </w:p>
    <w:p w14:paraId="69AFECB5">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（三）截留、挪用、侵占、套取项目经费；</w:t>
      </w:r>
    </w:p>
    <w:p w14:paraId="7383AAC2">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（四）拒不配合四川</w:t>
      </w:r>
      <w:r>
        <w:rPr>
          <w:rFonts w:hint="eastAsia" w:ascii="仿宋_GB2312" w:hAnsi="仿宋_GB2312" w:eastAsia="仿宋_GB2312" w:cs="仿宋_GB2312"/>
          <w:sz w:val="32"/>
          <w:szCs w:val="32"/>
          <w:lang w:val="en-US" w:eastAsia="zh-CN"/>
        </w:rPr>
        <w:t>省</w:t>
      </w:r>
      <w:r>
        <w:rPr>
          <w:rFonts w:hint="eastAsia" w:ascii="仿宋_GB2312" w:hAnsi="仿宋_GB2312" w:eastAsia="仿宋_GB2312" w:cs="仿宋_GB2312"/>
          <w:sz w:val="32"/>
          <w:szCs w:val="32"/>
        </w:rPr>
        <w:t>艺术基金中心项目管理工作；</w:t>
      </w:r>
    </w:p>
    <w:p w14:paraId="51FF0AC9">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（五）其他违反国家法律、法规及党规党纪的事项。</w:t>
      </w:r>
    </w:p>
    <w:p w14:paraId="2175AE9C">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eastAsia" w:ascii="仿宋_GB2312" w:hAnsi="仿宋_GB2312" w:eastAsia="仿宋_GB2312" w:cs="仿宋_GB2312"/>
          <w:sz w:val="32"/>
          <w:szCs w:val="32"/>
        </w:rPr>
      </w:pPr>
      <w:r>
        <w:rPr>
          <w:rStyle w:val="7"/>
          <w:rFonts w:hint="eastAsia" w:ascii="仿宋_GB2312" w:hAnsi="仿宋_GB2312" w:eastAsia="仿宋_GB2312" w:cs="仿宋_GB2312"/>
          <w:sz w:val="32"/>
          <w:szCs w:val="32"/>
        </w:rPr>
        <w:t>第二十七条</w:t>
      </w:r>
      <w:r>
        <w:rPr>
          <w:rStyle w:val="7"/>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四川</w:t>
      </w:r>
      <w:r>
        <w:rPr>
          <w:rFonts w:hint="eastAsia" w:ascii="仿宋_GB2312" w:hAnsi="仿宋_GB2312" w:eastAsia="仿宋_GB2312" w:cs="仿宋_GB2312"/>
          <w:sz w:val="32"/>
          <w:szCs w:val="32"/>
          <w:lang w:val="en-US" w:eastAsia="zh-CN"/>
        </w:rPr>
        <w:t>省</w:t>
      </w:r>
      <w:r>
        <w:rPr>
          <w:rFonts w:hint="eastAsia" w:ascii="仿宋_GB2312" w:hAnsi="仿宋_GB2312" w:eastAsia="仿宋_GB2312" w:cs="仿宋_GB2312"/>
          <w:sz w:val="32"/>
          <w:szCs w:val="32"/>
        </w:rPr>
        <w:t>艺术基金中心按年度检查项目经费的管理和使用情况，项目主体应当积极配合，如实反映情况，提供相关材料。</w:t>
      </w:r>
    </w:p>
    <w:p w14:paraId="5D01FB8D">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eastAsia" w:ascii="仿宋_GB2312" w:hAnsi="仿宋_GB2312" w:eastAsia="仿宋_GB2312" w:cs="仿宋_GB2312"/>
          <w:sz w:val="32"/>
          <w:szCs w:val="32"/>
        </w:rPr>
      </w:pPr>
      <w:r>
        <w:rPr>
          <w:rStyle w:val="7"/>
          <w:rFonts w:hint="eastAsia" w:ascii="仿宋_GB2312" w:hAnsi="仿宋_GB2312" w:eastAsia="仿宋_GB2312" w:cs="仿宋_GB2312"/>
          <w:sz w:val="32"/>
          <w:szCs w:val="32"/>
        </w:rPr>
        <w:t>第二十八条</w:t>
      </w:r>
      <w:r>
        <w:rPr>
          <w:rStyle w:val="7"/>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四川</w:t>
      </w:r>
      <w:r>
        <w:rPr>
          <w:rFonts w:hint="eastAsia" w:ascii="仿宋_GB2312" w:hAnsi="仿宋_GB2312" w:eastAsia="仿宋_GB2312" w:cs="仿宋_GB2312"/>
          <w:sz w:val="32"/>
          <w:szCs w:val="32"/>
          <w:lang w:val="en-US" w:eastAsia="zh-CN"/>
        </w:rPr>
        <w:t>省</w:t>
      </w:r>
      <w:r>
        <w:rPr>
          <w:rFonts w:hint="eastAsia" w:ascii="仿宋_GB2312" w:hAnsi="仿宋_GB2312" w:eastAsia="仿宋_GB2312" w:cs="仿宋_GB2312"/>
          <w:sz w:val="32"/>
          <w:szCs w:val="32"/>
        </w:rPr>
        <w:t>艺术基金中心组织对项目实施全过程预算绩效管理，开展绩效运行监控，结合项目监督和结项验收情况，对项目实施绩效自评和重点绩效评价，加强绩效评价结果反馈应用，定期向文化和旅游厅、财政厅和四川艺术基金理事会报送当年资助项目经费使用、决算情况与绩效目标实现情况，并向社会公告。</w:t>
      </w:r>
    </w:p>
    <w:p w14:paraId="3688BA93">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仿宋_GB2312" w:eastAsia="仿宋_GB2312" w:cs="仿宋_GB2312"/>
          <w:sz w:val="32"/>
          <w:szCs w:val="32"/>
        </w:rPr>
      </w:pPr>
    </w:p>
    <w:p w14:paraId="5A778A35">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jc w:val="center"/>
        <w:textAlignment w:val="auto"/>
        <w:rPr>
          <w:rFonts w:ascii="黑体" w:hAnsi="黑体" w:eastAsia="黑体" w:cs="黑体"/>
          <w:sz w:val="32"/>
          <w:szCs w:val="32"/>
        </w:rPr>
      </w:pPr>
      <w:r>
        <w:rPr>
          <w:rStyle w:val="7"/>
          <w:rFonts w:hint="eastAsia" w:ascii="黑体" w:hAnsi="黑体" w:eastAsia="黑体" w:cs="黑体"/>
          <w:b w:val="0"/>
          <w:bCs w:val="0"/>
          <w:sz w:val="32"/>
          <w:szCs w:val="32"/>
        </w:rPr>
        <w:t>第五章  附则</w:t>
      </w:r>
    </w:p>
    <w:p w14:paraId="4F421A68">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eastAsia" w:ascii="仿宋_GB2312" w:hAnsi="仿宋_GB2312" w:eastAsia="仿宋_GB2312" w:cs="仿宋_GB2312"/>
          <w:sz w:val="32"/>
          <w:szCs w:val="32"/>
        </w:rPr>
      </w:pPr>
      <w:r>
        <w:rPr>
          <w:rStyle w:val="7"/>
          <w:rFonts w:hint="eastAsia" w:ascii="仿宋_GB2312" w:hAnsi="仿宋_GB2312" w:eastAsia="仿宋_GB2312" w:cs="仿宋_GB2312"/>
          <w:sz w:val="32"/>
          <w:szCs w:val="32"/>
        </w:rPr>
        <w:t>第二十九条</w:t>
      </w:r>
      <w:r>
        <w:rPr>
          <w:rStyle w:val="7"/>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本细则由四川省艺术基金中心负责解释。</w:t>
      </w:r>
    </w:p>
    <w:p w14:paraId="6C1ABD0D">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eastAsia" w:ascii="仿宋_GB2312" w:hAnsi="仿宋_GB2312" w:eastAsia="仿宋_GB2312" w:cs="仿宋_GB2312"/>
          <w:sz w:val="32"/>
          <w:szCs w:val="32"/>
        </w:rPr>
      </w:pPr>
      <w:r>
        <w:rPr>
          <w:rStyle w:val="7"/>
          <w:rFonts w:hint="eastAsia" w:ascii="仿宋_GB2312" w:hAnsi="仿宋_GB2312" w:eastAsia="仿宋_GB2312" w:cs="仿宋_GB2312"/>
          <w:sz w:val="32"/>
          <w:szCs w:val="32"/>
        </w:rPr>
        <w:t>第三十条</w:t>
      </w:r>
      <w:r>
        <w:rPr>
          <w:rStyle w:val="7"/>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本细则自发布之日起试行。</w:t>
      </w:r>
    </w:p>
    <w:sectPr>
      <w:footerReference r:id="rId3" w:type="default"/>
      <w:pgSz w:w="11906" w:h="16838"/>
      <w:pgMar w:top="2154" w:right="1474" w:bottom="141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FAE4E2">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B83085">
                          <w:pPr>
                            <w:pStyle w:val="2"/>
                          </w:pP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62B83085">
                    <w:pPr>
                      <w:pStyle w:val="2"/>
                    </w:pP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42F1"/>
    <w:rsid w:val="000144AD"/>
    <w:rsid w:val="00056818"/>
    <w:rsid w:val="00160061"/>
    <w:rsid w:val="001D39F9"/>
    <w:rsid w:val="00297A15"/>
    <w:rsid w:val="00350EBC"/>
    <w:rsid w:val="003D7853"/>
    <w:rsid w:val="00475DD4"/>
    <w:rsid w:val="005043E2"/>
    <w:rsid w:val="0051651A"/>
    <w:rsid w:val="005B2088"/>
    <w:rsid w:val="00614ADC"/>
    <w:rsid w:val="006864ED"/>
    <w:rsid w:val="006B72A5"/>
    <w:rsid w:val="006F1DBC"/>
    <w:rsid w:val="00721879"/>
    <w:rsid w:val="00800CA1"/>
    <w:rsid w:val="00817ABB"/>
    <w:rsid w:val="008E4780"/>
    <w:rsid w:val="009327F1"/>
    <w:rsid w:val="00A44172"/>
    <w:rsid w:val="00A94250"/>
    <w:rsid w:val="00AA7302"/>
    <w:rsid w:val="00AE75EF"/>
    <w:rsid w:val="00B842F1"/>
    <w:rsid w:val="00BA0B6B"/>
    <w:rsid w:val="00BA2102"/>
    <w:rsid w:val="00C00D9F"/>
    <w:rsid w:val="00C33E31"/>
    <w:rsid w:val="00D05D0F"/>
    <w:rsid w:val="00E71AC5"/>
    <w:rsid w:val="00F2741C"/>
    <w:rsid w:val="01A544B3"/>
    <w:rsid w:val="01D51DA2"/>
    <w:rsid w:val="024535A0"/>
    <w:rsid w:val="02F92BEC"/>
    <w:rsid w:val="0334789D"/>
    <w:rsid w:val="06754465"/>
    <w:rsid w:val="06D55C27"/>
    <w:rsid w:val="0AB62D7C"/>
    <w:rsid w:val="0AD06675"/>
    <w:rsid w:val="0C2F779B"/>
    <w:rsid w:val="0C352FD3"/>
    <w:rsid w:val="0CC92134"/>
    <w:rsid w:val="0DD4438A"/>
    <w:rsid w:val="0F505749"/>
    <w:rsid w:val="11EE77B0"/>
    <w:rsid w:val="174D4F79"/>
    <w:rsid w:val="17862B6C"/>
    <w:rsid w:val="18073A36"/>
    <w:rsid w:val="18BD0C86"/>
    <w:rsid w:val="19341F4D"/>
    <w:rsid w:val="19842934"/>
    <w:rsid w:val="19CA465F"/>
    <w:rsid w:val="1E650894"/>
    <w:rsid w:val="1EE95587"/>
    <w:rsid w:val="1F362114"/>
    <w:rsid w:val="21455725"/>
    <w:rsid w:val="22EE38F2"/>
    <w:rsid w:val="23E266B9"/>
    <w:rsid w:val="257221C0"/>
    <w:rsid w:val="25F65079"/>
    <w:rsid w:val="26B91CE3"/>
    <w:rsid w:val="274B1C5D"/>
    <w:rsid w:val="29B13B22"/>
    <w:rsid w:val="29EF7B98"/>
    <w:rsid w:val="2AF439F5"/>
    <w:rsid w:val="2B250F95"/>
    <w:rsid w:val="2BE80201"/>
    <w:rsid w:val="2ED26038"/>
    <w:rsid w:val="33995376"/>
    <w:rsid w:val="35AF70D3"/>
    <w:rsid w:val="3BC136BC"/>
    <w:rsid w:val="3E2A07D3"/>
    <w:rsid w:val="3EBE2135"/>
    <w:rsid w:val="3EDA10B6"/>
    <w:rsid w:val="400C57E3"/>
    <w:rsid w:val="42192421"/>
    <w:rsid w:val="43350959"/>
    <w:rsid w:val="44093E52"/>
    <w:rsid w:val="448714FC"/>
    <w:rsid w:val="471C5C4A"/>
    <w:rsid w:val="4BF929FE"/>
    <w:rsid w:val="4D2A2D86"/>
    <w:rsid w:val="4F9071D6"/>
    <w:rsid w:val="51AE1F63"/>
    <w:rsid w:val="58557801"/>
    <w:rsid w:val="5FFF5CB2"/>
    <w:rsid w:val="611115BB"/>
    <w:rsid w:val="62600C89"/>
    <w:rsid w:val="633C04EB"/>
    <w:rsid w:val="639853EB"/>
    <w:rsid w:val="64F04AD5"/>
    <w:rsid w:val="65E72B88"/>
    <w:rsid w:val="6A333127"/>
    <w:rsid w:val="6B96571C"/>
    <w:rsid w:val="6C5A2BED"/>
    <w:rsid w:val="6C6E6699"/>
    <w:rsid w:val="6EB505AF"/>
    <w:rsid w:val="70B775EF"/>
    <w:rsid w:val="73BF2A14"/>
    <w:rsid w:val="76C03C65"/>
    <w:rsid w:val="77C57CF0"/>
    <w:rsid w:val="791F31F5"/>
    <w:rsid w:val="7A0845A4"/>
    <w:rsid w:val="7CCF0A8E"/>
    <w:rsid w:val="7CE001D7"/>
    <w:rsid w:val="7D4476CE"/>
    <w:rsid w:val="7E6D055E"/>
    <w:rsid w:val="7E735D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customStyle="1" w:styleId="8">
    <w:name w:val="页眉 Char"/>
    <w:basedOn w:val="6"/>
    <w:link w:val="3"/>
    <w:qFormat/>
    <w:uiPriority w:val="99"/>
    <w:rPr>
      <w:sz w:val="18"/>
      <w:szCs w:val="18"/>
    </w:rPr>
  </w:style>
  <w:style w:type="character" w:customStyle="1" w:styleId="9">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3213</Words>
  <Characters>3219</Characters>
  <Lines>24</Lines>
  <Paragraphs>6</Paragraphs>
  <TotalTime>24</TotalTime>
  <ScaleCrop>false</ScaleCrop>
  <LinksUpToDate>false</LinksUpToDate>
  <CharactersWithSpaces>3255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2022-08-30T06:56:00Z</dcterms:created>
  <dc:creator>ASUS</dc:creator>
  <cp:lastModifiedBy>歪歪</cp:lastModifiedBy>
  <dcterms:modified xsi:type="dcterms:W3CDTF">2025-09-18T07:20:07Z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eyJoZGlkIjoiNTIyN2Q1ZGQ1ZTg2OGI3ODIyY2IxNzg1ZTg4MDRiYmYiLCJ1c2VySWQiOiI0MTcwMjM4MTYifQ==</vt:lpwstr>
  </property>
  <property fmtid="{D5CDD505-2E9C-101B-9397-08002B2CF9AE}" pid="4" name="ICV">
    <vt:lpwstr>9B8847D52C29402B853BA40F6932EDE0_13</vt:lpwstr>
  </property>
</Properties>
</file>