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62B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附件</w:t>
      </w:r>
    </w:p>
    <w:p w14:paraId="7D95CCE5">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eastAsia="zh-CN"/>
        </w:rPr>
      </w:pPr>
    </w:p>
    <w:p w14:paraId="4F42D756">
      <w:pPr>
        <w:jc w:val="center"/>
        <w:rPr>
          <w:rFonts w:hint="eastAsia" w:ascii="Times New Roman" w:hAnsi="Times New Roman" w:eastAsia="方正小标宋简体" w:cs="方正小标宋简体"/>
          <w:b/>
          <w:bCs/>
          <w:spacing w:val="-17"/>
          <w:sz w:val="44"/>
          <w:szCs w:val="44"/>
          <w:lang w:val="en-US" w:eastAsia="zh-CN"/>
        </w:rPr>
      </w:pPr>
      <w:r>
        <w:rPr>
          <w:rFonts w:hint="eastAsia" w:ascii="Times New Roman" w:hAnsi="Times New Roman" w:eastAsia="方正小标宋简体" w:cs="方正小标宋简体"/>
          <w:b w:val="0"/>
          <w:bCs w:val="0"/>
          <w:spacing w:val="-17"/>
          <w:sz w:val="44"/>
          <w:szCs w:val="44"/>
          <w:lang w:val="en-US" w:eastAsia="zh-CN"/>
        </w:rPr>
        <w:t>2025年度四川省自然资源厅科研项目申报指南</w:t>
      </w:r>
    </w:p>
    <w:p w14:paraId="57128BF8">
      <w:pPr>
        <w:jc w:val="center"/>
        <w:rPr>
          <w:rFonts w:hint="eastAsia" w:ascii="Times New Roman" w:hAnsi="Times New Roman" w:eastAsia="仿宋_GB2312" w:cs="仿宋_GB2312"/>
          <w:b/>
          <w:bCs/>
          <w:spacing w:val="6"/>
          <w:sz w:val="30"/>
          <w:szCs w:val="30"/>
          <w:lang w:val="en-US" w:eastAsia="zh-CN"/>
        </w:rPr>
      </w:pPr>
    </w:p>
    <w:p w14:paraId="79378440">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一、重点方向</w:t>
      </w:r>
    </w:p>
    <w:p w14:paraId="7BF7B758">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（一）调查监测类</w:t>
      </w:r>
    </w:p>
    <w:p w14:paraId="3FFDFBC6">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1.基于深度学习模型的耕地精准提取、作物响应研究；</w:t>
      </w:r>
    </w:p>
    <w:p w14:paraId="7972F26A">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2.调查监测空间底座模型准确性验证研究；</w:t>
      </w:r>
    </w:p>
    <w:p w14:paraId="617D0F40">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3.四川省水资源基础调查技术、评价体系研究；</w:t>
      </w:r>
    </w:p>
    <w:p w14:paraId="722BB2C7">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4.实景三维地理场景数据质检、质量控制与评估研究；</w:t>
      </w:r>
    </w:p>
    <w:p w14:paraId="62431F56">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5.</w:t>
      </w:r>
      <w:r>
        <w:rPr>
          <w:rFonts w:hint="eastAsia" w:ascii="Times New Roman" w:hAnsi="Times New Roman" w:eastAsia="仿宋_GB2312" w:cs="仿宋_GB2312"/>
          <w:b w:val="0"/>
          <w:bCs w:val="0"/>
          <w:kern w:val="2"/>
          <w:sz w:val="32"/>
          <w:szCs w:val="32"/>
          <w:lang w:val="en-US" w:eastAsia="zh-CN" w:bidi="ar-SA"/>
        </w:rPr>
        <w:t>实景三维数据轻量化处理研究；</w:t>
      </w:r>
    </w:p>
    <w:p w14:paraId="70DD8C82">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6.公众版测绘成果开发利用研究。</w:t>
      </w:r>
    </w:p>
    <w:p w14:paraId="2FD98389">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（二）权益管理类</w:t>
      </w:r>
    </w:p>
    <w:p w14:paraId="124DD25E">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四川省全民所有自然资源资产价值实现及市场化整体配置研究。</w:t>
      </w:r>
    </w:p>
    <w:p w14:paraId="531C4024">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（三）空间规划类</w:t>
      </w:r>
    </w:p>
    <w:p w14:paraId="1F62C13F">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1.城市更新详细规划管控技术研究；</w:t>
      </w:r>
    </w:p>
    <w:p w14:paraId="525B34EA">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2.四川省资源城市转型路径研究；</w:t>
      </w:r>
    </w:p>
    <w:p w14:paraId="22BB020C">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3.基于实景三维的详细规划成果应用示范研究。</w:t>
      </w:r>
    </w:p>
    <w:p w14:paraId="380DA849">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（四）生态修复类</w:t>
      </w:r>
    </w:p>
    <w:p w14:paraId="0F8C3A15">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1.四川省生产矿山生态风险监测预警研究；</w:t>
      </w:r>
    </w:p>
    <w:p w14:paraId="6C290B34">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2.城市中心城区国土生态系统时空格局演变及其响应机制研究；</w:t>
      </w:r>
    </w:p>
    <w:p w14:paraId="43F29D93">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3.四川省生态保护修复工程综合评估研究（含工程后评估）。</w:t>
      </w:r>
    </w:p>
    <w:p w14:paraId="2F15E385">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（五）耕地保护类</w:t>
      </w:r>
    </w:p>
    <w:p w14:paraId="0B56E009">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1.四川省耕地动态演变及其驱动机制研究；</w:t>
      </w:r>
    </w:p>
    <w:p w14:paraId="1FF2824B">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w:t>
      </w:r>
      <w:r>
        <w:rPr>
          <w:rFonts w:hint="eastAsia" w:ascii="Times New Roman" w:hAnsi="Times New Roman" w:eastAsia="仿宋_GB2312" w:cs="仿宋_GB2312"/>
          <w:b w:val="0"/>
          <w:bCs w:val="0"/>
          <w:sz w:val="32"/>
          <w:szCs w:val="32"/>
          <w:lang w:val="en-US" w:eastAsia="zh-CN"/>
        </w:rPr>
        <w:t>四川省耕地调查评价认定技术方法研究</w:t>
      </w:r>
      <w:r>
        <w:rPr>
          <w:rFonts w:hint="eastAsia" w:ascii="Times New Roman" w:hAnsi="Times New Roman" w:eastAsia="仿宋_GB2312" w:cs="仿宋_GB2312"/>
          <w:b w:val="0"/>
          <w:bCs w:val="0"/>
          <w:color w:val="auto"/>
          <w:sz w:val="32"/>
          <w:szCs w:val="32"/>
          <w:highlight w:val="none"/>
          <w:lang w:val="en-US" w:eastAsia="zh-CN"/>
        </w:rPr>
        <w:t>；</w:t>
      </w:r>
    </w:p>
    <w:p w14:paraId="5DD5C936">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3.四川省耕地土壤质量动态监测、预测、防护研究。</w:t>
      </w:r>
    </w:p>
    <w:p w14:paraId="1146F385">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（六）地灾害防治类</w:t>
      </w:r>
    </w:p>
    <w:p w14:paraId="4784D887">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1.四川省高位远程滑坡隐患智能化识别和精准预警研究；</w:t>
      </w:r>
    </w:p>
    <w:p w14:paraId="4CBA45EE">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2.四川省地质灾害防治工程防灾功效评价指标体系研究。</w:t>
      </w:r>
    </w:p>
    <w:p w14:paraId="2FE19DCE">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（七）地质矿产类</w:t>
      </w:r>
    </w:p>
    <w:p w14:paraId="49B721B2">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1.四川省区域成矿规律研究；</w:t>
      </w:r>
    </w:p>
    <w:p w14:paraId="50B17D18">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2.四川省优势矿产资源（深部）成矿预测、富集规律、找矿潜力、找矿方法和勘查技术研究；</w:t>
      </w:r>
    </w:p>
    <w:p w14:paraId="2B0096DD">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3.重要复杂共伴生矿产资源综合开发利用研究；</w:t>
      </w:r>
    </w:p>
    <w:p w14:paraId="2EAEF516">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sz w:val="32"/>
          <w:szCs w:val="32"/>
          <w:lang w:eastAsia="zh-CN"/>
        </w:rPr>
        <w:t>四川省优势矿产战略意义、经济价值和产业链建设研究。</w:t>
      </w:r>
    </w:p>
    <w:p w14:paraId="3282F6EF">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（八）其他</w:t>
      </w:r>
    </w:p>
    <w:p w14:paraId="7ABF615C">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1.新形势下卫片执法违法用地早发现技术研究；</w:t>
      </w:r>
    </w:p>
    <w:p w14:paraId="4ECCE5A9">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2.四川省“十五五”自然资源领域科技创新战略研究；</w:t>
      </w:r>
    </w:p>
    <w:p w14:paraId="1EE06825">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3.自然资源信息化数据安全综合防护研究；</w:t>
      </w:r>
    </w:p>
    <w:p w14:paraId="786CFA36">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仿宋_GB2312"/>
          <w:b w:val="0"/>
          <w:bCs w:val="0"/>
          <w:color w:val="auto"/>
          <w:spacing w:val="-6"/>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4.四川省自然资源人工智能模型选择、背景、应用场景研究</w:t>
      </w:r>
      <w:r>
        <w:rPr>
          <w:rFonts w:hint="eastAsia" w:ascii="Times New Roman" w:hAnsi="Times New Roman" w:eastAsia="仿宋_GB2312" w:cs="仿宋_GB2312"/>
          <w:b w:val="0"/>
          <w:bCs w:val="0"/>
          <w:color w:val="auto"/>
          <w:spacing w:val="-6"/>
          <w:sz w:val="32"/>
          <w:szCs w:val="32"/>
          <w:highlight w:val="none"/>
          <w:lang w:val="en-US" w:eastAsia="zh-CN"/>
        </w:rPr>
        <w:t>。</w:t>
      </w:r>
    </w:p>
    <w:p w14:paraId="1EA3AA37">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二、项目周期</w:t>
      </w:r>
    </w:p>
    <w:p w14:paraId="72D3D7BE">
      <w:pPr>
        <w:keepNext w:val="0"/>
        <w:keepLines w:val="0"/>
        <w:pageBreakBefore w:val="0"/>
        <w:widowControl w:val="0"/>
        <w:kinsoku/>
        <w:wordWrap/>
        <w:topLinePunct w:val="0"/>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仿宋_GB2312" w:cs="仿宋_GB2312"/>
          <w:b w:val="0"/>
          <w:bCs w:val="0"/>
          <w:sz w:val="32"/>
          <w:szCs w:val="32"/>
          <w:lang w:val="en-US" w:eastAsia="zh-CN"/>
        </w:rPr>
        <w:t>项目周期不超过2年。</w:t>
      </w:r>
    </w:p>
    <w:p w14:paraId="0EB11418">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三、考核目标</w:t>
      </w:r>
    </w:p>
    <w:p w14:paraId="0A36EE96">
      <w:pPr>
        <w:keepNext w:val="0"/>
        <w:keepLines w:val="0"/>
        <w:pageBreakBefore w:val="0"/>
        <w:widowControl w:val="0"/>
        <w:numPr>
          <w:ilvl w:val="0"/>
          <w:numId w:val="0"/>
        </w:numPr>
        <w:tabs>
          <w:tab w:val="left" w:pos="3045"/>
        </w:tabs>
        <w:kinsoku/>
        <w:wordWrap/>
        <w:overflowPunct w:val="0"/>
        <w:topLinePunct w:val="0"/>
        <w:autoSpaceDE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项目申报绩效目标需包括但不限于考核目标，考核目标应满足下列条件之二。</w:t>
      </w:r>
    </w:p>
    <w:p w14:paraId="462B75F9">
      <w:pPr>
        <w:keepNext w:val="0"/>
        <w:keepLines w:val="0"/>
        <w:pageBreakBefore w:val="0"/>
        <w:widowControl w:val="0"/>
        <w:kinsoku/>
        <w:wordWrap/>
        <w:topLinePunct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1.形成研究成果报告1份；</w:t>
      </w:r>
    </w:p>
    <w:p w14:paraId="0E72DBE7">
      <w:pPr>
        <w:keepNext w:val="0"/>
        <w:keepLines w:val="0"/>
        <w:pageBreakBefore w:val="0"/>
        <w:widowControl w:val="0"/>
        <w:kinsoku/>
        <w:wordWrap/>
        <w:topLinePunct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2.项目成员以第一作者或通讯作者身份公开发表中文核心及以上学术论文（含SCI、EI等）至少1篇；</w:t>
      </w:r>
    </w:p>
    <w:p w14:paraId="7684CA13">
      <w:pPr>
        <w:keepNext w:val="0"/>
        <w:keepLines w:val="0"/>
        <w:pageBreakBefore w:val="0"/>
        <w:widowControl w:val="0"/>
        <w:kinsoku/>
        <w:wordWrap/>
        <w:topLinePunct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3.技术推广并获得使用至少3个项目。</w:t>
      </w:r>
    </w:p>
    <w:p w14:paraId="1D5C6C6C">
      <w:pPr>
        <w:keepNext w:val="0"/>
        <w:keepLines w:val="0"/>
        <w:pageBreakBefore w:val="0"/>
        <w:widowControl w:val="0"/>
        <w:kinsoku/>
        <w:wordWrap/>
        <w:topLinePunct w:val="0"/>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eastAsia="zh-CN"/>
        </w:rPr>
        <w:t>四、申报提示</w:t>
      </w:r>
    </w:p>
    <w:p w14:paraId="75B70F87">
      <w:pPr>
        <w:keepNext w:val="0"/>
        <w:keepLines w:val="0"/>
        <w:pageBreakBefore w:val="0"/>
        <w:widowControl w:val="0"/>
        <w:kinsoku/>
        <w:wordWrap/>
        <w:topLinePunct w:val="0"/>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1.项目请聚焦自然资源领域重点研究方向下的具体问题，不得以重点方向为题。</w:t>
      </w:r>
    </w:p>
    <w:p w14:paraId="038FCFEE">
      <w:r>
        <w:rPr>
          <w:rFonts w:hint="eastAsia" w:ascii="Times New Roman" w:hAnsi="Times New Roman" w:eastAsia="仿宋_GB2312" w:cs="仿宋_GB2312"/>
          <w:b w:val="0"/>
          <w:bCs w:val="0"/>
          <w:sz w:val="32"/>
          <w:szCs w:val="32"/>
          <w:lang w:val="en-US" w:eastAsia="zh-CN"/>
        </w:rPr>
        <w:t>2.请在申报书“团队条件”部分明确项目组成员姓名、性别、年龄、单位、职称、拟负责工作等内容，鼓励青年科技工作者、女性科技工作者负责或参与科研项目。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4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无间隔1"/>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2024-12-10T07:58:25Z</dcterms:created>
  <dc:creator>Administrator</dc:creator>
  <cp:lastModifiedBy>Administrator</cp:lastModifiedBy>
  <dcterms:modified xsi:type="dcterms:W3CDTF">2024-12-10T07:58:32Z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F7D4894D26784A40BD708D43B15424EE_12</vt:lpwstr>
  </property>
</Properties>
</file>